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仿宋_GBK" w:cs="Times New Roman"/>
          <w:sz w:val="32"/>
          <w:szCs w:val="32"/>
          <w:highlight w:val="none"/>
        </w:rPr>
      </w:pPr>
    </w:p>
    <w:p>
      <w:pPr>
        <w:jc w:val="center"/>
        <w:rPr>
          <w:rFonts w:ascii="Times New Roman" w:hAnsi="Times New Roman" w:cs="Times New Roman"/>
          <w:highlight w:val="none"/>
        </w:rPr>
      </w:pPr>
    </w:p>
    <w:p>
      <w:pPr>
        <w:spacing w:line="1600" w:lineRule="exact"/>
        <w:jc w:val="center"/>
        <w:rPr>
          <w:rFonts w:ascii="Times New Roman" w:hAnsi="Times New Roman" w:eastAsia="方正黑体_GBK" w:cs="Times New Roman"/>
          <w:sz w:val="72"/>
          <w:szCs w:val="72"/>
          <w:highlight w:val="none"/>
        </w:rPr>
      </w:pPr>
    </w:p>
    <w:p>
      <w:pPr>
        <w:spacing w:line="1600" w:lineRule="exact"/>
        <w:jc w:val="center"/>
        <w:outlineLvl w:val="0"/>
        <w:rPr>
          <w:rFonts w:ascii="Times New Roman" w:hAnsi="Times New Roman" w:eastAsia="方正黑体_GBK" w:cs="Times New Roman"/>
          <w:sz w:val="130"/>
          <w:szCs w:val="130"/>
          <w:highlight w:val="none"/>
        </w:rPr>
      </w:pPr>
      <w:r>
        <w:rPr>
          <w:rFonts w:ascii="Times New Roman" w:hAnsi="Times New Roman" w:eastAsia="方正黑体_GBK" w:cs="Times New Roman"/>
          <w:sz w:val="130"/>
          <w:szCs w:val="130"/>
          <w:highlight w:val="none"/>
        </w:rPr>
        <w:t>竞争性谈判文件</w:t>
      </w:r>
    </w:p>
    <w:p>
      <w:pPr>
        <w:spacing w:line="700" w:lineRule="exact"/>
        <w:jc w:val="center"/>
        <w:rPr>
          <w:rFonts w:ascii="Times New Roman" w:hAnsi="Times New Roman" w:eastAsia="黑体" w:cs="Times New Roman"/>
          <w:sz w:val="32"/>
          <w:highlight w:val="none"/>
        </w:rPr>
      </w:pPr>
    </w:p>
    <w:p>
      <w:pPr>
        <w:spacing w:line="700" w:lineRule="exact"/>
        <w:jc w:val="center"/>
        <w:rPr>
          <w:rFonts w:ascii="Times New Roman" w:hAnsi="Times New Roman" w:eastAsia="黑体" w:cs="Times New Roman"/>
          <w:sz w:val="32"/>
          <w:highlight w:val="none"/>
        </w:rPr>
      </w:pPr>
    </w:p>
    <w:p>
      <w:pPr>
        <w:spacing w:line="700" w:lineRule="exact"/>
        <w:rPr>
          <w:rFonts w:ascii="Times New Roman" w:hAnsi="Times New Roman" w:eastAsia="黑体" w:cs="Times New Roman"/>
          <w:sz w:val="32"/>
          <w:highlight w:val="none"/>
        </w:rPr>
      </w:pPr>
    </w:p>
    <w:p>
      <w:pPr>
        <w:spacing w:line="700" w:lineRule="exact"/>
        <w:jc w:val="center"/>
        <w:rPr>
          <w:rFonts w:ascii="Times New Roman" w:hAnsi="Times New Roman" w:eastAsia="黑体" w:cs="Times New Roman"/>
          <w:sz w:val="32"/>
          <w:highlight w:val="none"/>
        </w:rPr>
      </w:pPr>
    </w:p>
    <w:p>
      <w:pPr>
        <w:spacing w:line="700" w:lineRule="exact"/>
        <w:jc w:val="center"/>
        <w:rPr>
          <w:rFonts w:ascii="Times New Roman" w:hAnsi="Times New Roman" w:eastAsia="黑体" w:cs="Times New Roman"/>
          <w:sz w:val="32"/>
          <w:highlight w:val="none"/>
        </w:rPr>
      </w:pPr>
    </w:p>
    <w:p>
      <w:pPr>
        <w:spacing w:line="360" w:lineRule="auto"/>
        <w:ind w:firstLine="360" w:firstLineChars="100"/>
        <w:rPr>
          <w:rFonts w:hint="default" w:ascii="Times New Roman" w:hAnsi="Times New Roman" w:eastAsia="方正小标宋_GBK" w:cs="Times New Roman"/>
          <w:color w:val="000000"/>
          <w:sz w:val="36"/>
          <w:szCs w:val="36"/>
          <w:highlight w:val="none"/>
          <w:lang w:val="en-US" w:eastAsia="zh-CN"/>
        </w:rPr>
      </w:pPr>
      <w:r>
        <w:rPr>
          <w:rFonts w:ascii="Times New Roman" w:hAnsi="Times New Roman" w:eastAsia="方正小标宋_GBK" w:cs="Times New Roman"/>
          <w:color w:val="000000"/>
          <w:sz w:val="36"/>
          <w:szCs w:val="36"/>
          <w:highlight w:val="none"/>
        </w:rPr>
        <w:t>采购项目编号：CQDY20250</w:t>
      </w:r>
      <w:r>
        <w:rPr>
          <w:rFonts w:hint="eastAsia" w:ascii="Times New Roman" w:hAnsi="Times New Roman" w:eastAsia="方正小标宋_GBK" w:cs="Times New Roman"/>
          <w:color w:val="000000"/>
          <w:sz w:val="36"/>
          <w:szCs w:val="36"/>
          <w:highlight w:val="none"/>
          <w:lang w:val="en-US" w:eastAsia="zh-CN"/>
        </w:rPr>
        <w:t>9</w:t>
      </w:r>
    </w:p>
    <w:p>
      <w:pPr>
        <w:pStyle w:val="21"/>
        <w:spacing w:line="360" w:lineRule="auto"/>
        <w:ind w:firstLine="360" w:firstLineChars="100"/>
        <w:jc w:val="both"/>
        <w:rPr>
          <w:rFonts w:ascii="Times New Roman" w:eastAsia="方正小标宋_GBK" w:cs="Times New Roman"/>
          <w:spacing w:val="-23"/>
          <w:sz w:val="36"/>
          <w:szCs w:val="36"/>
          <w:highlight w:val="none"/>
        </w:rPr>
      </w:pPr>
      <w:r>
        <w:rPr>
          <w:rFonts w:ascii="Times New Roman" w:eastAsia="方正小标宋_GBK" w:cs="Times New Roman"/>
          <w:sz w:val="36"/>
          <w:szCs w:val="36"/>
          <w:highlight w:val="none"/>
        </w:rPr>
        <w:t>采购项目名称：</w:t>
      </w:r>
      <w:r>
        <w:rPr>
          <w:rFonts w:ascii="Times New Roman" w:eastAsia="方正小标宋_GBK" w:cs="Times New Roman"/>
          <w:spacing w:val="-23"/>
          <w:sz w:val="36"/>
          <w:szCs w:val="36"/>
          <w:highlight w:val="none"/>
        </w:rPr>
        <w:t>矿产品监测平台</w:t>
      </w:r>
      <w:r>
        <w:rPr>
          <w:rFonts w:hint="eastAsia" w:ascii="Times New Roman" w:eastAsia="方正小标宋_GBK" w:cs="Times New Roman"/>
          <w:spacing w:val="-23"/>
          <w:sz w:val="36"/>
          <w:szCs w:val="36"/>
          <w:highlight w:val="none"/>
        </w:rPr>
        <w:t>系统及安全维护升级技术服务</w:t>
      </w:r>
    </w:p>
    <w:p>
      <w:pPr>
        <w:spacing w:line="360" w:lineRule="auto"/>
        <w:ind w:firstLine="360" w:firstLineChars="100"/>
        <w:rPr>
          <w:rFonts w:ascii="Times New Roman" w:hAnsi="Times New Roman" w:eastAsia="方正小标宋_GBK" w:cs="Times New Roman"/>
          <w:color w:val="000000"/>
          <w:sz w:val="36"/>
          <w:szCs w:val="36"/>
          <w:highlight w:val="none"/>
        </w:rPr>
      </w:pPr>
      <w:r>
        <w:rPr>
          <w:rFonts w:ascii="Times New Roman" w:hAnsi="Times New Roman" w:eastAsia="方正小标宋_GBK" w:cs="Times New Roman"/>
          <w:color w:val="000000"/>
          <w:sz w:val="36"/>
          <w:szCs w:val="36"/>
          <w:highlight w:val="none"/>
        </w:rPr>
        <w:t>采   购   人：重庆地质矿产研究院</w:t>
      </w:r>
    </w:p>
    <w:p>
      <w:pPr>
        <w:spacing w:line="720" w:lineRule="exact"/>
        <w:jc w:val="center"/>
        <w:rPr>
          <w:rFonts w:ascii="Times New Roman" w:hAnsi="Times New Roman" w:eastAsia="方正小标宋_GBK" w:cs="Times New Roman"/>
          <w:sz w:val="36"/>
          <w:szCs w:val="36"/>
          <w:highlight w:val="none"/>
        </w:rPr>
      </w:pPr>
    </w:p>
    <w:p>
      <w:pPr>
        <w:spacing w:line="720" w:lineRule="exact"/>
        <w:jc w:val="center"/>
        <w:rPr>
          <w:rFonts w:ascii="Times New Roman" w:hAnsi="Times New Roman" w:eastAsia="方正小标宋_GBK" w:cs="Times New Roman"/>
          <w:sz w:val="36"/>
          <w:szCs w:val="36"/>
          <w:highlight w:val="none"/>
        </w:rPr>
      </w:pPr>
    </w:p>
    <w:p>
      <w:pPr>
        <w:spacing w:line="720" w:lineRule="exact"/>
        <w:rPr>
          <w:rFonts w:ascii="Times New Roman" w:hAnsi="Times New Roman" w:eastAsia="方正小标宋_GBK" w:cs="Times New Roman"/>
          <w:sz w:val="36"/>
          <w:szCs w:val="36"/>
          <w:highlight w:val="none"/>
        </w:rPr>
      </w:pPr>
    </w:p>
    <w:p>
      <w:pPr>
        <w:spacing w:line="720" w:lineRule="exact"/>
        <w:jc w:val="center"/>
        <w:outlineLvl w:val="0"/>
        <w:rPr>
          <w:rFonts w:ascii="Times New Roman" w:hAnsi="Times New Roman" w:eastAsia="方正黑体_GBK" w:cs="Times New Roman"/>
          <w:sz w:val="48"/>
          <w:szCs w:val="32"/>
          <w:highlight w:val="none"/>
        </w:rPr>
      </w:pPr>
      <w:r>
        <w:rPr>
          <w:rFonts w:ascii="Times New Roman" w:hAnsi="Times New Roman" w:eastAsia="方正小标宋_GBK" w:cs="Times New Roman"/>
          <w:sz w:val="36"/>
          <w:szCs w:val="36"/>
          <w:highlight w:val="none"/>
        </w:rPr>
        <w:t>二〇二五年</w:t>
      </w:r>
      <w:r>
        <w:rPr>
          <w:rFonts w:hint="eastAsia" w:ascii="Times New Roman" w:hAnsi="Times New Roman" w:eastAsia="方正小标宋_GBK" w:cs="Times New Roman"/>
          <w:sz w:val="36"/>
          <w:szCs w:val="36"/>
          <w:highlight w:val="none"/>
          <w:lang w:val="en-US" w:eastAsia="zh-CN"/>
        </w:rPr>
        <w:t>九</w:t>
      </w:r>
      <w:r>
        <w:rPr>
          <w:rFonts w:ascii="Times New Roman" w:hAnsi="Times New Roman" w:eastAsia="方正小标宋_GBK" w:cs="Times New Roman"/>
          <w:sz w:val="36"/>
          <w:szCs w:val="36"/>
          <w:highlight w:val="none"/>
        </w:rPr>
        <w:t>月</w:t>
      </w:r>
    </w:p>
    <w:p>
      <w:pPr>
        <w:spacing w:line="480" w:lineRule="exact"/>
        <w:outlineLvl w:val="0"/>
        <w:rPr>
          <w:rFonts w:ascii="Times New Roman" w:hAnsi="Times New Roman" w:eastAsia="方正黑体_GBK" w:cs="Times New Roman"/>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cols w:space="720" w:num="1"/>
          <w:titlePg/>
          <w:docGrid w:linePitch="381" w:charSpace="-5735"/>
        </w:sectPr>
      </w:pPr>
    </w:p>
    <w:p>
      <w:pPr>
        <w:spacing w:line="480" w:lineRule="exact"/>
        <w:jc w:val="center"/>
        <w:outlineLvl w:val="0"/>
        <w:rPr>
          <w:rFonts w:hint="eastAsia" w:ascii="方正黑体_GBK" w:hAnsi="方正黑体_GBK" w:eastAsia="方正黑体_GBK" w:cs="方正黑体_GBK"/>
          <w:b/>
          <w:bCs/>
          <w:sz w:val="44"/>
          <w:szCs w:val="28"/>
          <w:highlight w:val="none"/>
        </w:rPr>
      </w:pPr>
      <w:r>
        <w:rPr>
          <w:rFonts w:hint="eastAsia" w:ascii="方正黑体_GBK" w:hAnsi="方正黑体_GBK" w:eastAsia="方正黑体_GBK" w:cs="方正黑体_GBK"/>
          <w:b/>
          <w:bCs/>
          <w:sz w:val="44"/>
          <w:szCs w:val="28"/>
          <w:highlight w:val="none"/>
        </w:rPr>
        <w:t>目   录</w:t>
      </w:r>
    </w:p>
    <w:p>
      <w:pPr>
        <w:pStyle w:val="2"/>
        <w:rPr>
          <w:rFonts w:hint="eastAsia"/>
        </w:rPr>
      </w:pP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TOC \o "1-3" \h \z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_Toc162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第一篇  竞争性谈判邀请书</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_Toc162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_Toc29453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一、竞争性谈判内容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_Toc29453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_Toc24020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二、资金来源</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_Toc24020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_Toc9817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w:t>
      </w:r>
      <w:r>
        <w:rPr>
          <w:rFonts w:hint="eastAsia" w:ascii="方正仿宋_GBK" w:hAnsi="方正仿宋_GBK" w:eastAsia="方正仿宋_GBK" w:cs="方正仿宋_GBK"/>
          <w:sz w:val="28"/>
          <w:szCs w:val="28"/>
          <w:highlight w:val="none"/>
          <w:lang w:val="en-US" w:eastAsia="zh-CN"/>
        </w:rPr>
        <w:t>供应商</w:t>
      </w:r>
      <w:r>
        <w:rPr>
          <w:rFonts w:hint="eastAsia" w:ascii="方正仿宋_GBK" w:hAnsi="方正仿宋_GBK" w:eastAsia="方正仿宋_GBK" w:cs="方正仿宋_GBK"/>
          <w:sz w:val="28"/>
          <w:szCs w:val="28"/>
          <w:highlight w:val="none"/>
        </w:rPr>
        <w:t>资格</w:t>
      </w:r>
      <w:r>
        <w:rPr>
          <w:rFonts w:hint="eastAsia" w:ascii="方正仿宋_GBK" w:hAnsi="方正仿宋_GBK" w:eastAsia="方正仿宋_GBK" w:cs="方正仿宋_GBK"/>
          <w:sz w:val="28"/>
          <w:szCs w:val="28"/>
          <w:highlight w:val="none"/>
          <w:lang w:val="en-US" w:eastAsia="zh-CN"/>
        </w:rPr>
        <w:t>条件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_Toc9817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_Toc1226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四、谈判有关说明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_Toc1226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_Toc7585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五、保证金</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_Toc7585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_Toc2089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六、其它有关规定</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_Toc2089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_Toc31636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七、联系方式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_Toc31636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_Toc20921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第二篇  谈判项目技术（质量）需求</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_Toc20921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_Toc8650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w:t>
      </w:r>
      <w:r>
        <w:rPr>
          <w:rFonts w:hint="eastAsia" w:ascii="方正仿宋_GBK" w:hAnsi="方正仿宋_GBK" w:eastAsia="方正仿宋_GBK" w:cs="方正仿宋_GBK"/>
          <w:sz w:val="28"/>
          <w:szCs w:val="28"/>
          <w:highlight w:val="none"/>
          <w:lang w:val="en-US" w:eastAsia="zh-CN"/>
        </w:rPr>
        <w:t>采购内容</w:t>
      </w:r>
      <w:r>
        <w:rPr>
          <w:rFonts w:hint="eastAsia" w:ascii="方正仿宋_GBK" w:hAnsi="方正仿宋_GBK" w:eastAsia="方正仿宋_GBK" w:cs="方正仿宋_GBK"/>
          <w:sz w:val="28"/>
          <w:szCs w:val="28"/>
          <w:highlight w:val="none"/>
        </w:rPr>
        <w:t>一览表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_Toc8650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_Toc20231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w:t>
      </w:r>
      <w:r>
        <w:rPr>
          <w:rFonts w:hint="eastAsia" w:ascii="方正仿宋_GBK" w:hAnsi="方正仿宋_GBK" w:eastAsia="方正仿宋_GBK" w:cs="方正仿宋_GBK"/>
          <w:sz w:val="28"/>
          <w:szCs w:val="28"/>
          <w:highlight w:val="none"/>
          <w:lang w:val="en-US" w:eastAsia="zh-CN"/>
        </w:rPr>
        <w:t>技术要求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_Toc20231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_Toc28725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技术工作内容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_Toc28725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_Toc20078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第三篇  谈判项目服务需求</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_Toc20078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5</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_Toc31017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一、服务时间、地点及验收方式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_Toc31017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_Toc18610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二、质量保证</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_Toc18610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_Toc19225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三、报价要求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_Toc19225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_Toc4177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四、付款方式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_Toc4177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_Toc15635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五、知识产权</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_Toc15635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_Toc23677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六、其他</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_Toc23677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_Toc31834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第四篇  采购程序、评定成交的标准、无效谈判及采购终止</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_Toc31834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6</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_Toc5350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一、采购程序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_Toc5350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_Toc19339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二、评定成交的标准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_Toc19339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_Toc11440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三、无效谈判</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_Toc11440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_Toc10289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四、采购终止</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_Toc10289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_Toc3665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第五篇  供应商须知</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_Toc3665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10</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_Toc29110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一、谈判费用</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_Toc29110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_Toc26411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二、竞争性谈判文件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_Toc26411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_Toc17677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三、谈判要求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_Toc17677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_Toc22809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四、成交供应商的确定和变更</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_Toc22809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_Toc6800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五、成交通知</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_Toc6800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_Toc2380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六、关于质疑和投诉</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_Toc2380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_Toc24546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七、签订合同</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_Toc24546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_Toc32556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八、项目验收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_Toc32556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_Toc21980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rPr>
        <w:t xml:space="preserve">第六篇 </w:t>
      </w:r>
      <w:r>
        <w:rPr>
          <w:rFonts w:hint="eastAsia" w:ascii="方正仿宋_GBK" w:hAnsi="方正仿宋_GBK" w:eastAsia="方正仿宋_GBK" w:cs="方正仿宋_GBK"/>
          <w:b/>
          <w:bCs/>
          <w:sz w:val="28"/>
          <w:szCs w:val="28"/>
          <w:highlight w:val="none"/>
        </w:rPr>
        <w:t>合同草案条款</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_Toc21980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14</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highlight w:val="none"/>
        </w:rPr>
        <w:fldChar w:fldCharType="begin"/>
      </w:r>
      <w:r>
        <w:rPr>
          <w:rFonts w:hint="eastAsia" w:ascii="方正仿宋_GBK" w:hAnsi="方正仿宋_GBK" w:eastAsia="方正仿宋_GBK" w:cs="方正仿宋_GBK"/>
          <w:b/>
          <w:bCs/>
          <w:sz w:val="28"/>
          <w:szCs w:val="28"/>
          <w:highlight w:val="none"/>
        </w:rPr>
        <w:instrText xml:space="preserve"> HYPERLINK \l _Toc6931 </w:instrText>
      </w:r>
      <w:r>
        <w:rPr>
          <w:rFonts w:hint="eastAsia" w:ascii="方正仿宋_GBK" w:hAnsi="方正仿宋_GBK" w:eastAsia="方正仿宋_GBK" w:cs="方正仿宋_GBK"/>
          <w:b/>
          <w:bCs/>
          <w:sz w:val="28"/>
          <w:szCs w:val="28"/>
          <w:highlight w:val="none"/>
        </w:rPr>
        <w:fldChar w:fldCharType="separate"/>
      </w:r>
      <w:r>
        <w:rPr>
          <w:rFonts w:hint="eastAsia" w:ascii="方正仿宋_GBK" w:hAnsi="方正仿宋_GBK" w:eastAsia="方正仿宋_GBK" w:cs="方正仿宋_GBK"/>
          <w:b/>
          <w:bCs/>
          <w:sz w:val="28"/>
          <w:szCs w:val="28"/>
          <w:highlight w:val="none"/>
        </w:rPr>
        <w:t>第七篇  响应文件格式要求</w:t>
      </w:r>
      <w:r>
        <w:rPr>
          <w:rFonts w:hint="eastAsia" w:ascii="方正仿宋_GBK" w:hAnsi="方正仿宋_GBK" w:eastAsia="方正仿宋_GBK" w:cs="方正仿宋_GBK"/>
          <w:b/>
          <w:bCs/>
          <w:sz w:val="28"/>
          <w:szCs w:val="28"/>
        </w:rPr>
        <w:tab/>
      </w: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PAGEREF _Toc6931 \h </w:instrText>
      </w:r>
      <w:r>
        <w:rPr>
          <w:rFonts w:hint="eastAsia" w:ascii="方正仿宋_GBK" w:hAnsi="方正仿宋_GBK" w:eastAsia="方正仿宋_GBK" w:cs="方正仿宋_GBK"/>
          <w:b/>
          <w:bCs/>
          <w:sz w:val="28"/>
          <w:szCs w:val="28"/>
        </w:rPr>
        <w:fldChar w:fldCharType="separate"/>
      </w:r>
      <w:r>
        <w:rPr>
          <w:rFonts w:hint="eastAsia" w:ascii="方正仿宋_GBK" w:hAnsi="方正仿宋_GBK" w:eastAsia="方正仿宋_GBK" w:cs="方正仿宋_GBK"/>
          <w:b/>
          <w:bCs/>
          <w:sz w:val="28"/>
          <w:szCs w:val="28"/>
        </w:rPr>
        <w:t>15</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b/>
          <w:bCs/>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_Toc31428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一、经济部分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_Toc31428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_Toc27683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二、技术（质量）部分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_Toc27683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_Toc19297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三、服务部分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_Toc19297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_Toc9604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四、资格</w:t>
      </w:r>
      <w:r>
        <w:rPr>
          <w:rFonts w:hint="eastAsia" w:ascii="方正仿宋_GBK" w:hAnsi="方正仿宋_GBK" w:eastAsia="方正仿宋_GBK" w:cs="方正仿宋_GBK"/>
          <w:sz w:val="28"/>
          <w:szCs w:val="28"/>
          <w:highlight w:val="none"/>
          <w:lang w:val="en-US" w:eastAsia="zh-CN"/>
        </w:rPr>
        <w:t>文件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_Toc9604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highlight w:val="none"/>
        </w:rPr>
        <w:fldChar w:fldCharType="end"/>
      </w:r>
    </w:p>
    <w:p>
      <w:pPr>
        <w:pStyle w:val="14"/>
        <w:tabs>
          <w:tab w:val="right" w:leader="dot" w:pos="9412"/>
        </w:tabs>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HYPERLINK \l _Toc14772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五、其他</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lang w:val="en-US" w:eastAsia="zh-CN"/>
        </w:rPr>
        <w:t>6</w:t>
      </w:r>
    </w:p>
    <w:p>
      <w:pPr>
        <w:pStyle w:val="14"/>
        <w:tabs>
          <w:tab w:val="right" w:leader="dot" w:pos="9402"/>
        </w:tabs>
        <w:spacing w:line="350" w:lineRule="exact"/>
        <w:rPr>
          <w:rFonts w:hint="eastAsia" w:ascii="方正仿宋_GBK" w:hAnsi="方正仿宋_GBK" w:eastAsia="方正仿宋_GBK" w:cs="方正仿宋_GBK"/>
          <w:sz w:val="28"/>
          <w:szCs w:val="28"/>
          <w:highlight w:val="none"/>
        </w:rPr>
        <w:sectPr>
          <w:footerReference r:id="rId8" w:type="default"/>
          <w:pgSz w:w="11907" w:h="16840"/>
          <w:pgMar w:top="1134" w:right="1191" w:bottom="1134" w:left="1304" w:header="851" w:footer="992" w:gutter="0"/>
          <w:pgNumType w:start="1"/>
          <w:cols w:space="720" w:num="1"/>
          <w:docGrid w:linePitch="381" w:charSpace="-5735"/>
        </w:sectPr>
      </w:pPr>
      <w:r>
        <w:rPr>
          <w:rFonts w:hint="eastAsia" w:ascii="方正仿宋_GBK" w:hAnsi="方正仿宋_GBK" w:eastAsia="方正仿宋_GBK" w:cs="方正仿宋_GBK"/>
          <w:sz w:val="28"/>
          <w:szCs w:val="28"/>
          <w:highlight w:val="none"/>
        </w:rPr>
        <w:fldChar w:fldCharType="end"/>
      </w:r>
    </w:p>
    <w:p>
      <w:pPr>
        <w:pStyle w:val="4"/>
        <w:spacing w:before="0" w:after="0" w:line="360" w:lineRule="auto"/>
        <w:jc w:val="center"/>
        <w:rPr>
          <w:rFonts w:ascii="Times New Roman" w:hAnsi="Times New Roman" w:cs="Times New Roman"/>
          <w:b/>
          <w:bCs/>
          <w:szCs w:val="30"/>
          <w:highlight w:val="none"/>
        </w:rPr>
      </w:pPr>
      <w:bookmarkStart w:id="0" w:name="_Toc65660329"/>
      <w:bookmarkStart w:id="1" w:name="_Toc17594"/>
      <w:bookmarkStart w:id="2" w:name="_Toc162"/>
      <w:bookmarkStart w:id="3" w:name="_Toc12789052"/>
      <w:bookmarkStart w:id="4" w:name="_Toc11641050"/>
      <w:bookmarkStart w:id="5" w:name="_Toc15726"/>
      <w:bookmarkStart w:id="6" w:name="_Toc24173"/>
      <w:r>
        <w:rPr>
          <w:rFonts w:ascii="Times New Roman" w:hAnsi="Times New Roman" w:cs="Times New Roman"/>
          <w:b/>
          <w:bCs/>
          <w:szCs w:val="30"/>
          <w:highlight w:val="none"/>
        </w:rPr>
        <w:t>第一篇  竞争性谈判邀请书</w:t>
      </w:r>
      <w:bookmarkEnd w:id="0"/>
      <w:bookmarkEnd w:id="1"/>
      <w:bookmarkEnd w:id="2"/>
      <w:bookmarkEnd w:id="3"/>
      <w:bookmarkEnd w:id="4"/>
      <w:bookmarkEnd w:id="5"/>
      <w:bookmarkEnd w:id="6"/>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重庆地质矿产研究</w:t>
      </w:r>
      <w:r>
        <w:rPr>
          <w:rFonts w:hint="eastAsia" w:ascii="方正仿宋_GBK" w:hAnsi="方正仿宋_GBK" w:eastAsia="方正仿宋_GBK" w:cs="方正仿宋_GBK"/>
          <w:sz w:val="28"/>
          <w:szCs w:val="28"/>
          <w:highlight w:val="none"/>
          <w:lang w:val="en-US" w:eastAsia="zh-CN"/>
        </w:rPr>
        <w:t>院对</w:t>
      </w:r>
      <w:r>
        <w:rPr>
          <w:rFonts w:hint="eastAsia" w:ascii="方正仿宋_GBK" w:hAnsi="方正仿宋_GBK" w:eastAsia="方正仿宋_GBK" w:cs="方正仿宋_GBK"/>
          <w:sz w:val="28"/>
          <w:szCs w:val="28"/>
          <w:highlight w:val="none"/>
        </w:rPr>
        <w:t>矿产品监测平台系统及安全维护升级技术服务进行竞争性谈判采购。欢迎有资格的供应商前来参加谈判。</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7" w:name="_Toc7758"/>
      <w:bookmarkStart w:id="8" w:name="_Toc65660330"/>
      <w:bookmarkStart w:id="9" w:name="_Toc29453"/>
      <w:bookmarkStart w:id="10" w:name="_Toc18246"/>
      <w:bookmarkStart w:id="11" w:name="_Toc29700"/>
      <w:bookmarkStart w:id="12" w:name="_Toc317775175"/>
      <w:bookmarkStart w:id="13" w:name="_Toc313893526"/>
      <w:r>
        <w:rPr>
          <w:rFonts w:hint="eastAsia" w:ascii="方正仿宋_GBK" w:hAnsi="方正仿宋_GBK" w:eastAsia="方正仿宋_GBK" w:cs="方正仿宋_GBK"/>
          <w:sz w:val="28"/>
          <w:szCs w:val="28"/>
          <w:highlight w:val="none"/>
        </w:rPr>
        <w:t>一、竞争性谈判内容</w:t>
      </w:r>
      <w:bookmarkEnd w:id="7"/>
      <w:bookmarkEnd w:id="8"/>
      <w:bookmarkEnd w:id="9"/>
      <w:bookmarkEnd w:id="10"/>
      <w:bookmarkEnd w:id="11"/>
      <w:bookmarkEnd w:id="12"/>
      <w:bookmarkEnd w:id="13"/>
    </w:p>
    <w:tbl>
      <w:tblPr>
        <w:tblStyle w:val="1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350"/>
        <w:gridCol w:w="1234"/>
        <w:gridCol w:w="1627"/>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696"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采购内容</w:t>
            </w:r>
          </w:p>
        </w:tc>
        <w:tc>
          <w:tcPr>
            <w:tcW w:w="1350"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最高限价（万元）</w:t>
            </w:r>
          </w:p>
        </w:tc>
        <w:tc>
          <w:tcPr>
            <w:tcW w:w="1234"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保证金</w:t>
            </w:r>
          </w:p>
          <w:p>
            <w:pPr>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（万元）</w:t>
            </w:r>
          </w:p>
        </w:tc>
        <w:tc>
          <w:tcPr>
            <w:tcW w:w="1627" w:type="dxa"/>
            <w:tcBorders>
              <w:top w:val="single" w:color="auto" w:sz="4" w:space="0"/>
              <w:left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成交供应商数量（名）</w:t>
            </w:r>
          </w:p>
        </w:tc>
        <w:tc>
          <w:tcPr>
            <w:tcW w:w="2373" w:type="dxa"/>
            <w:tcBorders>
              <w:top w:val="single" w:color="auto" w:sz="4" w:space="0"/>
              <w:left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kern w:val="0"/>
                <w:sz w:val="28"/>
                <w:szCs w:val="28"/>
                <w:highlight w:val="none"/>
              </w:rPr>
            </w:pPr>
            <w:bookmarkStart w:id="14" w:name="_Hlk344477914"/>
            <w:r>
              <w:rPr>
                <w:rFonts w:hint="eastAsia" w:ascii="方正仿宋_GBK" w:hAnsi="方正仿宋_GBK" w:eastAsia="方正仿宋_GBK" w:cs="方正仿宋_GBK"/>
                <w:sz w:val="28"/>
                <w:szCs w:val="28"/>
                <w:highlight w:val="none"/>
              </w:rPr>
              <w:t>矿产品监测平台系统及安全维护升级技术服务</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47.5</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p>
        </w:tc>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p>
        </w:tc>
        <w:tc>
          <w:tcPr>
            <w:tcW w:w="237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软件和信息</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技术服务业</w:t>
            </w:r>
          </w:p>
        </w:tc>
      </w:tr>
      <w:bookmarkEnd w:id="14"/>
    </w:tbl>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15" w:name="_Toc27471"/>
      <w:bookmarkStart w:id="16" w:name="_Toc3256"/>
      <w:bookmarkStart w:id="17" w:name="_Toc24020"/>
      <w:bookmarkStart w:id="18" w:name="_Toc65660331"/>
      <w:bookmarkStart w:id="19" w:name="_Toc27028"/>
      <w:bookmarkStart w:id="20" w:name="_Toc373860293"/>
      <w:bookmarkStart w:id="21" w:name="_Toc317775178"/>
      <w:r>
        <w:rPr>
          <w:rFonts w:hint="eastAsia" w:ascii="方正仿宋_GBK" w:hAnsi="方正仿宋_GBK" w:eastAsia="方正仿宋_GBK" w:cs="方正仿宋_GBK"/>
          <w:sz w:val="28"/>
          <w:szCs w:val="28"/>
          <w:highlight w:val="none"/>
        </w:rPr>
        <w:t>二、资金来源</w:t>
      </w:r>
      <w:bookmarkEnd w:id="15"/>
      <w:bookmarkEnd w:id="16"/>
      <w:bookmarkEnd w:id="17"/>
      <w:bookmarkEnd w:id="18"/>
      <w:bookmarkEnd w:id="19"/>
    </w:p>
    <w:p>
      <w:pPr>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财政资金，采购预算</w:t>
      </w:r>
      <w:r>
        <w:rPr>
          <w:rFonts w:hint="eastAsia" w:ascii="方正仿宋_GBK" w:hAnsi="方正仿宋_GBK" w:eastAsia="方正仿宋_GBK" w:cs="方正仿宋_GBK"/>
          <w:sz w:val="28"/>
          <w:szCs w:val="28"/>
          <w:highlight w:val="none"/>
          <w:lang w:val="en-US" w:eastAsia="zh-CN"/>
        </w:rPr>
        <w:t>为：</w:t>
      </w:r>
      <w:r>
        <w:rPr>
          <w:rFonts w:hint="eastAsia" w:ascii="方正仿宋_GBK" w:hAnsi="方正仿宋_GBK" w:eastAsia="方正仿宋_GBK" w:cs="方正仿宋_GBK"/>
          <w:sz w:val="28"/>
          <w:szCs w:val="28"/>
          <w:highlight w:val="none"/>
          <w:u w:val="single"/>
        </w:rPr>
        <w:t>47.5</w:t>
      </w:r>
      <w:r>
        <w:rPr>
          <w:rFonts w:hint="eastAsia" w:ascii="方正仿宋_GBK" w:hAnsi="方正仿宋_GBK" w:eastAsia="方正仿宋_GBK" w:cs="方正仿宋_GBK"/>
          <w:sz w:val="28"/>
          <w:szCs w:val="28"/>
          <w:highlight w:val="none"/>
        </w:rPr>
        <w:t>万元。</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lang w:val="en-US" w:eastAsia="zh-CN"/>
        </w:rPr>
      </w:pPr>
      <w:bookmarkStart w:id="22" w:name="_Toc64731996"/>
      <w:bookmarkStart w:id="23" w:name="_Toc25701"/>
      <w:bookmarkStart w:id="24" w:name="_Toc65660332"/>
      <w:bookmarkStart w:id="25" w:name="_Toc13541"/>
      <w:bookmarkStart w:id="26" w:name="_Toc18548"/>
      <w:bookmarkStart w:id="27" w:name="_Toc9817"/>
      <w:r>
        <w:rPr>
          <w:rFonts w:hint="eastAsia" w:ascii="方正仿宋_GBK" w:hAnsi="方正仿宋_GBK" w:eastAsia="方正仿宋_GBK" w:cs="方正仿宋_GBK"/>
          <w:sz w:val="28"/>
          <w:szCs w:val="28"/>
          <w:highlight w:val="none"/>
        </w:rPr>
        <w:t>三、</w:t>
      </w:r>
      <w:r>
        <w:rPr>
          <w:rFonts w:hint="eastAsia" w:ascii="方正仿宋_GBK" w:hAnsi="方正仿宋_GBK" w:eastAsia="方正仿宋_GBK" w:cs="方正仿宋_GBK"/>
          <w:sz w:val="28"/>
          <w:szCs w:val="28"/>
          <w:highlight w:val="none"/>
          <w:lang w:val="en-US" w:eastAsia="zh-CN"/>
        </w:rPr>
        <w:t>供应商</w:t>
      </w:r>
      <w:r>
        <w:rPr>
          <w:rFonts w:hint="eastAsia" w:ascii="方正仿宋_GBK" w:hAnsi="方正仿宋_GBK" w:eastAsia="方正仿宋_GBK" w:cs="方正仿宋_GBK"/>
          <w:sz w:val="28"/>
          <w:szCs w:val="28"/>
          <w:highlight w:val="none"/>
        </w:rPr>
        <w:t>资格</w:t>
      </w:r>
      <w:bookmarkEnd w:id="22"/>
      <w:bookmarkEnd w:id="23"/>
      <w:bookmarkEnd w:id="24"/>
      <w:bookmarkEnd w:id="25"/>
      <w:bookmarkEnd w:id="26"/>
      <w:bookmarkEnd w:id="27"/>
      <w:r>
        <w:rPr>
          <w:rFonts w:hint="eastAsia" w:ascii="方正仿宋_GBK" w:hAnsi="方正仿宋_GBK" w:eastAsia="方正仿宋_GBK" w:cs="方正仿宋_GBK"/>
          <w:sz w:val="28"/>
          <w:szCs w:val="28"/>
          <w:highlight w:val="none"/>
          <w:lang w:val="en-US" w:eastAsia="zh-CN"/>
        </w:rPr>
        <w:t>条件</w:t>
      </w:r>
    </w:p>
    <w:p>
      <w:pPr>
        <w:spacing w:line="3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一）</w:t>
      </w:r>
      <w:r>
        <w:rPr>
          <w:rFonts w:hint="eastAsia" w:ascii="方正仿宋_GBK" w:hAnsi="方正仿宋_GBK" w:eastAsia="方正仿宋_GBK" w:cs="方正仿宋_GBK"/>
          <w:sz w:val="28"/>
          <w:szCs w:val="28"/>
          <w:highlight w:val="none"/>
        </w:rPr>
        <w:t>应满足《中华人民共和国政府采购法》第二十二条规定</w:t>
      </w:r>
      <w:r>
        <w:rPr>
          <w:rFonts w:hint="eastAsia" w:ascii="方正仿宋_GBK" w:hAnsi="方正仿宋_GBK" w:eastAsia="方正仿宋_GBK" w:cs="方正仿宋_GBK"/>
          <w:sz w:val="28"/>
          <w:szCs w:val="28"/>
          <w:highlight w:val="none"/>
          <w:lang w:eastAsia="zh-CN"/>
        </w:rPr>
        <w:t>；</w:t>
      </w:r>
    </w:p>
    <w:p>
      <w:pPr>
        <w:snapToGrid w:val="0"/>
        <w:spacing w:line="360" w:lineRule="exact"/>
        <w:ind w:firstLine="560" w:firstLineChars="200"/>
        <w:jc w:val="left"/>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（二）本项目的特定资格</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条件</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bookmarkStart w:id="28" w:name="_Toc1386"/>
      <w:bookmarkStart w:id="29" w:name="_Toc11908"/>
      <w:bookmarkStart w:id="30" w:name="_Toc20723"/>
      <w:bookmarkStart w:id="31" w:name="_Toc65660333"/>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无；</w:t>
      </w:r>
    </w:p>
    <w:p>
      <w:pPr>
        <w:spacing w:line="360" w:lineRule="exact"/>
        <w:ind w:firstLine="560" w:firstLineChars="200"/>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（三）落实政府采购政策需满足的资格要求：本项目为专门面向中小企业采购项目，供应商应为中小微型企业或监狱企业或残疾人福利性单位。</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32" w:name="_Toc1226"/>
      <w:r>
        <w:rPr>
          <w:rFonts w:hint="eastAsia" w:ascii="方正仿宋_GBK" w:hAnsi="方正仿宋_GBK" w:eastAsia="方正仿宋_GBK" w:cs="方正仿宋_GBK"/>
          <w:sz w:val="28"/>
          <w:szCs w:val="28"/>
          <w:highlight w:val="none"/>
        </w:rPr>
        <w:t>四、谈判有关说明</w:t>
      </w:r>
      <w:bookmarkEnd w:id="20"/>
      <w:bookmarkEnd w:id="28"/>
      <w:bookmarkEnd w:id="29"/>
      <w:bookmarkEnd w:id="30"/>
      <w:bookmarkEnd w:id="31"/>
      <w:bookmarkEnd w:id="32"/>
    </w:p>
    <w:p>
      <w:pPr>
        <w:snapToGrid w:val="0"/>
        <w:spacing w:line="360" w:lineRule="exact"/>
        <w:ind w:firstLine="560" w:firstLineChars="200"/>
        <w:rPr>
          <w:rFonts w:hint="eastAsia" w:ascii="方正仿宋_GBK" w:hAnsi="方正仿宋_GBK" w:eastAsia="方正仿宋_GBK" w:cs="方正仿宋_GBK"/>
          <w:sz w:val="28"/>
          <w:szCs w:val="28"/>
          <w:highlight w:val="none"/>
        </w:rPr>
      </w:pPr>
      <w:bookmarkStart w:id="33" w:name="OLE_LINK1"/>
      <w:r>
        <w:rPr>
          <w:rFonts w:hint="eastAsia" w:ascii="方正仿宋_GBK" w:hAnsi="方正仿宋_GBK" w:eastAsia="方正仿宋_GBK" w:cs="方正仿宋_GBK"/>
          <w:sz w:val="28"/>
          <w:szCs w:val="28"/>
          <w:highlight w:val="none"/>
        </w:rPr>
        <w:t>（一）凡有意参加谈判的供应商，</w:t>
      </w:r>
      <w:r>
        <w:rPr>
          <w:rFonts w:hint="eastAsia" w:ascii="方正仿宋_GBK" w:hAnsi="方正仿宋_GBK" w:eastAsia="方正仿宋_GBK" w:cs="方正仿宋_GBK"/>
          <w:strike w:val="0"/>
          <w:dstrike w:val="0"/>
          <w:sz w:val="28"/>
          <w:szCs w:val="28"/>
          <w:highlight w:val="none"/>
        </w:rPr>
        <w:t>请在重庆地质矿产研究院官网</w:t>
      </w:r>
      <w:r>
        <w:rPr>
          <w:rFonts w:hint="eastAsia" w:ascii="方正仿宋_GBK" w:hAnsi="方正仿宋_GBK" w:eastAsia="方正仿宋_GBK" w:cs="方正仿宋_GBK"/>
          <w:strike w:val="0"/>
          <w:dstrike w:val="0"/>
          <w:color w:val="auto"/>
          <w:sz w:val="28"/>
          <w:szCs w:val="28"/>
          <w:highlight w:val="none"/>
        </w:rPr>
        <w:t>（</w:t>
      </w:r>
      <w:r>
        <w:rPr>
          <w:rFonts w:hint="eastAsia" w:ascii="方正仿宋_GBK" w:hAnsi="方正仿宋_GBK" w:eastAsia="方正仿宋_GBK" w:cs="方正仿宋_GBK"/>
          <w:strike w:val="0"/>
          <w:dstrike w:val="0"/>
          <w:color w:val="auto"/>
          <w:sz w:val="28"/>
          <w:szCs w:val="28"/>
          <w:highlight w:val="none"/>
        </w:rPr>
        <w:fldChar w:fldCharType="begin"/>
      </w:r>
      <w:r>
        <w:rPr>
          <w:rFonts w:hint="eastAsia" w:ascii="方正仿宋_GBK" w:hAnsi="方正仿宋_GBK" w:eastAsia="方正仿宋_GBK" w:cs="方正仿宋_GBK"/>
          <w:strike w:val="0"/>
          <w:dstrike w:val="0"/>
          <w:color w:val="auto"/>
          <w:sz w:val="28"/>
          <w:szCs w:val="28"/>
          <w:highlight w:val="none"/>
        </w:rPr>
        <w:instrText xml:space="preserve"> HYPERLINK "http://www.cqdky.com" </w:instrText>
      </w:r>
      <w:r>
        <w:rPr>
          <w:rFonts w:hint="eastAsia" w:ascii="方正仿宋_GBK" w:hAnsi="方正仿宋_GBK" w:eastAsia="方正仿宋_GBK" w:cs="方正仿宋_GBK"/>
          <w:strike w:val="0"/>
          <w:dstrike w:val="0"/>
          <w:color w:val="auto"/>
          <w:sz w:val="28"/>
          <w:szCs w:val="28"/>
          <w:highlight w:val="none"/>
        </w:rPr>
        <w:fldChar w:fldCharType="separate"/>
      </w:r>
      <w:r>
        <w:rPr>
          <w:rStyle w:val="20"/>
          <w:rFonts w:hint="eastAsia" w:ascii="方正仿宋_GBK" w:hAnsi="方正仿宋_GBK" w:eastAsia="方正仿宋_GBK" w:cs="方正仿宋_GBK"/>
          <w:strike w:val="0"/>
          <w:dstrike w:val="0"/>
          <w:color w:val="auto"/>
          <w:sz w:val="28"/>
          <w:szCs w:val="28"/>
          <w:highlight w:val="none"/>
        </w:rPr>
        <w:t>www.cqdky.com</w:t>
      </w:r>
      <w:r>
        <w:rPr>
          <w:rStyle w:val="20"/>
          <w:rFonts w:hint="eastAsia" w:ascii="方正仿宋_GBK" w:hAnsi="方正仿宋_GBK" w:eastAsia="方正仿宋_GBK" w:cs="方正仿宋_GBK"/>
          <w:strike w:val="0"/>
          <w:dstrike w:val="0"/>
          <w:color w:val="auto"/>
          <w:sz w:val="28"/>
          <w:szCs w:val="28"/>
          <w:highlight w:val="none"/>
        </w:rPr>
        <w:fldChar w:fldCharType="end"/>
      </w:r>
      <w:r>
        <w:rPr>
          <w:rFonts w:hint="eastAsia" w:ascii="方正仿宋_GBK" w:hAnsi="方正仿宋_GBK" w:eastAsia="方正仿宋_GBK" w:cs="方正仿宋_GBK"/>
          <w:strike w:val="0"/>
          <w:dstrike w:val="0"/>
          <w:color w:val="auto"/>
          <w:sz w:val="28"/>
          <w:szCs w:val="28"/>
          <w:highlight w:val="none"/>
        </w:rPr>
        <w:t>）</w:t>
      </w:r>
      <w:r>
        <w:rPr>
          <w:rFonts w:hint="eastAsia" w:ascii="方正仿宋_GBK" w:hAnsi="方正仿宋_GBK" w:eastAsia="方正仿宋_GBK" w:cs="方正仿宋_GBK"/>
          <w:strike w:val="0"/>
          <w:dstrike w:val="0"/>
          <w:sz w:val="28"/>
          <w:szCs w:val="28"/>
          <w:highlight w:val="none"/>
        </w:rPr>
        <w:t>上下载或</w:t>
      </w:r>
      <w:r>
        <w:rPr>
          <w:rFonts w:hint="eastAsia" w:ascii="方正仿宋_GBK" w:hAnsi="方正仿宋_GBK" w:eastAsia="方正仿宋_GBK" w:cs="方正仿宋_GBK"/>
          <w:sz w:val="28"/>
          <w:szCs w:val="28"/>
          <w:highlight w:val="none"/>
        </w:rPr>
        <w:t>采购人处领取本项目竞争性谈判文件以及图纸、澄清等谈判前公布的所有项目资料，无论供应商下载或领取与否，均视为已知晓所有谈判实质性要求内容。</w:t>
      </w:r>
    </w:p>
    <w:p>
      <w:pPr>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（二）竞争性谈判公告期限：自采购公告发布之日起</w:t>
      </w:r>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rPr>
        <w:t>个工作日。</w:t>
      </w:r>
    </w:p>
    <w:p>
      <w:pPr>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（三）竞争性谈判文件</w:t>
      </w:r>
      <w:r>
        <w:rPr>
          <w:rFonts w:hint="eastAsia" w:ascii="方正仿宋_GBK" w:hAnsi="方正仿宋_GBK" w:eastAsia="方正仿宋_GBK" w:cs="方正仿宋_GBK"/>
          <w:sz w:val="28"/>
          <w:szCs w:val="28"/>
          <w:highlight w:val="none"/>
          <w:lang w:val="en-US" w:eastAsia="zh-CN"/>
        </w:rPr>
        <w:t>提供</w:t>
      </w:r>
      <w:r>
        <w:rPr>
          <w:rFonts w:hint="eastAsia" w:ascii="方正仿宋_GBK" w:hAnsi="方正仿宋_GBK" w:eastAsia="方正仿宋_GBK" w:cs="方正仿宋_GBK"/>
          <w:sz w:val="28"/>
          <w:szCs w:val="28"/>
          <w:highlight w:val="none"/>
        </w:rPr>
        <w:t>期限</w:t>
      </w:r>
    </w:p>
    <w:p>
      <w:pPr>
        <w:spacing w:line="3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竞争性谈判文件</w:t>
      </w:r>
      <w:r>
        <w:rPr>
          <w:rFonts w:hint="eastAsia" w:ascii="方正仿宋_GBK" w:hAnsi="方正仿宋_GBK" w:eastAsia="方正仿宋_GBK" w:cs="方正仿宋_GBK"/>
          <w:sz w:val="28"/>
          <w:szCs w:val="28"/>
          <w:highlight w:val="none"/>
          <w:lang w:val="en-US" w:eastAsia="zh-CN"/>
        </w:rPr>
        <w:t>提供</w:t>
      </w:r>
      <w:r>
        <w:rPr>
          <w:rFonts w:hint="eastAsia" w:ascii="方正仿宋_GBK" w:hAnsi="方正仿宋_GBK" w:eastAsia="方正仿宋_GBK" w:cs="方正仿宋_GBK"/>
          <w:sz w:val="28"/>
          <w:szCs w:val="28"/>
          <w:highlight w:val="none"/>
        </w:rPr>
        <w:t>期限2025年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23</w:t>
      </w:r>
      <w:r>
        <w:rPr>
          <w:rFonts w:hint="eastAsia" w:ascii="方正仿宋_GBK" w:hAnsi="方正仿宋_GBK" w:eastAsia="方正仿宋_GBK" w:cs="方正仿宋_GBK"/>
          <w:sz w:val="28"/>
          <w:szCs w:val="28"/>
          <w:highlight w:val="none"/>
        </w:rPr>
        <w:t>日至2025年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25</w:t>
      </w:r>
      <w:r>
        <w:rPr>
          <w:rFonts w:hint="eastAsia" w:ascii="方正仿宋_GBK" w:hAnsi="方正仿宋_GBK" w:eastAsia="方正仿宋_GBK" w:cs="方正仿宋_GBK"/>
          <w:sz w:val="28"/>
          <w:szCs w:val="28"/>
          <w:highlight w:val="none"/>
        </w:rPr>
        <w:t>日</w:t>
      </w:r>
      <w:r>
        <w:rPr>
          <w:rFonts w:hint="eastAsia" w:ascii="方正仿宋_GBK" w:hAnsi="方正仿宋_GBK" w:eastAsia="方正仿宋_GBK" w:cs="方正仿宋_GBK"/>
          <w:sz w:val="28"/>
          <w:szCs w:val="28"/>
          <w:highlight w:val="none"/>
          <w:lang w:eastAsia="zh-CN"/>
        </w:rPr>
        <w:t>。</w:t>
      </w:r>
    </w:p>
    <w:p>
      <w:pPr>
        <w:spacing w:line="36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报名方式：竞争性谈判文件提供期限内，供应商</w:t>
      </w:r>
      <w:r>
        <w:rPr>
          <w:rFonts w:hint="eastAsia" w:ascii="方正仿宋_GBK" w:hAnsi="方正仿宋_GBK" w:eastAsia="方正仿宋_GBK" w:cs="方正仿宋_GBK"/>
          <w:sz w:val="28"/>
          <w:szCs w:val="28"/>
          <w:lang w:val="en-US" w:eastAsia="zh-CN"/>
        </w:rPr>
        <w:t>填写报名回执并加盖公章后，</w:t>
      </w:r>
      <w:r>
        <w:rPr>
          <w:rFonts w:hint="eastAsia" w:ascii="方正仿宋_GBK" w:hAnsi="方正仿宋_GBK" w:eastAsia="方正仿宋_GBK" w:cs="方正仿宋_GBK"/>
          <w:sz w:val="28"/>
          <w:szCs w:val="28"/>
        </w:rPr>
        <w:t>扫描发送至cqdyycg@163.com</w:t>
      </w:r>
      <w:r>
        <w:rPr>
          <w:rFonts w:hint="eastAsia" w:ascii="方正仿宋_GBK" w:hAnsi="方正仿宋_GBK" w:eastAsia="方正仿宋_GBK" w:cs="方正仿宋_GBK"/>
          <w:sz w:val="28"/>
          <w:szCs w:val="28"/>
          <w:lang w:eastAsia="zh-CN"/>
        </w:rPr>
        <w:t>。</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四</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递交响应文件及</w:t>
      </w:r>
      <w:r>
        <w:rPr>
          <w:rFonts w:hint="eastAsia" w:ascii="方正仿宋_GBK" w:hAnsi="方正仿宋_GBK" w:eastAsia="方正仿宋_GBK" w:cs="方正仿宋_GBK"/>
          <w:sz w:val="28"/>
          <w:szCs w:val="28"/>
          <w:highlight w:val="none"/>
        </w:rPr>
        <w:t>谈判地点：重庆地质矿产研究院170</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会议室（地址：重庆市渝北区兰馨大道111号）</w:t>
      </w:r>
    </w:p>
    <w:bookmarkEnd w:id="21"/>
    <w:p>
      <w:pPr>
        <w:snapToGrid w:val="0"/>
        <w:spacing w:line="360" w:lineRule="exact"/>
        <w:ind w:firstLine="560" w:firstLineChars="200"/>
        <w:rPr>
          <w:rFonts w:hint="default" w:ascii="方正仿宋_GBK" w:hAnsi="方正仿宋_GBK" w:eastAsia="方正仿宋_GBK" w:cs="方正仿宋_GBK"/>
          <w:sz w:val="28"/>
          <w:szCs w:val="28"/>
          <w:highlight w:val="none"/>
          <w:lang w:val="en-US"/>
        </w:rPr>
      </w:pPr>
      <w:bookmarkStart w:id="34" w:name="_Toc521053053"/>
      <w:bookmarkStart w:id="35" w:name="_Toc11956"/>
      <w:bookmarkStart w:id="36" w:name="_Toc26057"/>
      <w:bookmarkStart w:id="37" w:name="_Toc6178"/>
      <w:bookmarkStart w:id="38" w:name="_Toc65660334"/>
      <w:bookmarkStart w:id="39" w:name="_Toc525047161"/>
      <w:bookmarkStart w:id="40" w:name="_Toc373860294"/>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五</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递交</w:t>
      </w:r>
      <w:r>
        <w:rPr>
          <w:rFonts w:hint="eastAsia" w:ascii="方正仿宋_GBK" w:hAnsi="方正仿宋_GBK" w:eastAsia="方正仿宋_GBK" w:cs="方正仿宋_GBK"/>
          <w:sz w:val="28"/>
          <w:szCs w:val="28"/>
          <w:highlight w:val="none"/>
        </w:rPr>
        <w:t>响应文件</w:t>
      </w:r>
      <w:r>
        <w:rPr>
          <w:rFonts w:hint="eastAsia" w:ascii="方正仿宋_GBK" w:hAnsi="方正仿宋_GBK" w:eastAsia="方正仿宋_GBK" w:cs="方正仿宋_GBK"/>
          <w:sz w:val="28"/>
          <w:szCs w:val="28"/>
          <w:highlight w:val="none"/>
          <w:lang w:val="en-US" w:eastAsia="zh-CN"/>
        </w:rPr>
        <w:t>开始及</w:t>
      </w:r>
      <w:r>
        <w:rPr>
          <w:rFonts w:hint="eastAsia" w:ascii="方正仿宋_GBK" w:hAnsi="方正仿宋_GBK" w:eastAsia="方正仿宋_GBK" w:cs="方正仿宋_GBK"/>
          <w:sz w:val="28"/>
          <w:szCs w:val="28"/>
          <w:highlight w:val="none"/>
        </w:rPr>
        <w:t>截止时间：2025年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26</w:t>
      </w:r>
      <w:r>
        <w:rPr>
          <w:rFonts w:hint="eastAsia" w:ascii="方正仿宋_GBK" w:hAnsi="方正仿宋_GBK" w:eastAsia="方正仿宋_GBK" w:cs="方正仿宋_GBK"/>
          <w:sz w:val="28"/>
          <w:szCs w:val="28"/>
          <w:highlight w:val="none"/>
        </w:rPr>
        <w:t>日北京时间</w:t>
      </w:r>
      <w:r>
        <w:rPr>
          <w:rFonts w:hint="eastAsia" w:ascii="方正仿宋_GBK" w:hAnsi="方正仿宋_GBK" w:eastAsia="方正仿宋_GBK" w:cs="方正仿宋_GBK"/>
          <w:sz w:val="28"/>
          <w:szCs w:val="28"/>
          <w:highlight w:val="none"/>
          <w:lang w:val="en-US" w:eastAsia="zh-CN"/>
        </w:rPr>
        <w:t>9：30—10</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00</w:t>
      </w:r>
    </w:p>
    <w:p>
      <w:pPr>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六</w:t>
      </w:r>
      <w:r>
        <w:rPr>
          <w:rFonts w:hint="eastAsia" w:ascii="方正仿宋_GBK" w:hAnsi="方正仿宋_GBK" w:eastAsia="方正仿宋_GBK" w:cs="方正仿宋_GBK"/>
          <w:sz w:val="28"/>
          <w:szCs w:val="28"/>
          <w:highlight w:val="none"/>
        </w:rPr>
        <w:t>）谈判开始时间：2025年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26</w:t>
      </w:r>
      <w:r>
        <w:rPr>
          <w:rFonts w:hint="eastAsia" w:ascii="方正仿宋_GBK" w:hAnsi="方正仿宋_GBK" w:eastAsia="方正仿宋_GBK" w:cs="方正仿宋_GBK"/>
          <w:sz w:val="28"/>
          <w:szCs w:val="28"/>
          <w:highlight w:val="none"/>
        </w:rPr>
        <w:t>日北京时间</w:t>
      </w:r>
      <w:r>
        <w:rPr>
          <w:rFonts w:hint="eastAsia" w:ascii="方正仿宋_GBK" w:hAnsi="方正仿宋_GBK" w:eastAsia="方正仿宋_GBK" w:cs="方正仿宋_GBK"/>
          <w:sz w:val="28"/>
          <w:szCs w:val="28"/>
          <w:highlight w:val="none"/>
          <w:lang w:val="en-US" w:eastAsia="zh-CN"/>
        </w:rPr>
        <w:t>10</w:t>
      </w:r>
      <w:r>
        <w:rPr>
          <w:rFonts w:hint="eastAsia" w:ascii="方正仿宋_GBK" w:hAnsi="方正仿宋_GBK" w:eastAsia="方正仿宋_GBK" w:cs="方正仿宋_GBK"/>
          <w:sz w:val="28"/>
          <w:szCs w:val="28"/>
          <w:highlight w:val="none"/>
        </w:rPr>
        <w:t>：00</w:t>
      </w:r>
    </w:p>
    <w:bookmarkEnd w:id="33"/>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41" w:name="_Toc7585"/>
      <w:r>
        <w:rPr>
          <w:rFonts w:hint="eastAsia" w:ascii="方正仿宋_GBK" w:hAnsi="方正仿宋_GBK" w:eastAsia="方正仿宋_GBK" w:cs="方正仿宋_GBK"/>
          <w:sz w:val="28"/>
          <w:szCs w:val="28"/>
          <w:highlight w:val="none"/>
        </w:rPr>
        <w:t>五、保证金</w:t>
      </w:r>
      <w:bookmarkEnd w:id="34"/>
      <w:bookmarkEnd w:id="35"/>
      <w:bookmarkEnd w:id="36"/>
      <w:bookmarkEnd w:id="37"/>
      <w:bookmarkEnd w:id="38"/>
      <w:bookmarkEnd w:id="39"/>
      <w:bookmarkEnd w:id="40"/>
      <w:bookmarkEnd w:id="41"/>
    </w:p>
    <w:p>
      <w:pPr>
        <w:snapToGrid w:val="0"/>
        <w:spacing w:line="36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本项目不收取保证金。</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42" w:name="_Toc6563"/>
      <w:bookmarkStart w:id="43" w:name="_Toc2089"/>
      <w:bookmarkStart w:id="44" w:name="_Toc12788"/>
      <w:bookmarkStart w:id="45" w:name="_Toc521053055"/>
      <w:bookmarkStart w:id="46" w:name="_Toc16269"/>
      <w:bookmarkStart w:id="47" w:name="_Toc525047163"/>
      <w:bookmarkStart w:id="48" w:name="_Toc65660336"/>
      <w:r>
        <w:rPr>
          <w:rFonts w:hint="eastAsia" w:ascii="方正仿宋_GBK" w:hAnsi="方正仿宋_GBK" w:eastAsia="方正仿宋_GBK" w:cs="方正仿宋_GBK"/>
          <w:sz w:val="28"/>
          <w:szCs w:val="28"/>
          <w:highlight w:val="none"/>
        </w:rPr>
        <w:t>六、其它有关规定</w:t>
      </w:r>
      <w:bookmarkEnd w:id="42"/>
      <w:bookmarkEnd w:id="43"/>
      <w:bookmarkEnd w:id="44"/>
      <w:bookmarkEnd w:id="45"/>
      <w:bookmarkEnd w:id="46"/>
      <w:bookmarkEnd w:id="47"/>
      <w:bookmarkEnd w:id="48"/>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（一）单位负责人为同一人或者存在直接控股、管理关系的不同供应商，不得参加同一合同项（包）下的采购活动，否则均为无效谈判。</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（二）为采购项目提供整体设计、规范编制或者项目管理、监理、检测等服务的供应商，不得再参加该采购项目的其他采购活动。</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（三）同一合同项（包）下为单一品目的货物采购中，同一品牌同一型号产品有多家供应商参加谈判，只能按照一家供应商计算。</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（四）同一合同项（包）下的货物，制造商参与谈判的，不得再委托代理商参与谈判。</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（五）本项目的澄清文件（如果有）一律在重庆地质矿产研究院官网（</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"http://www.cqdky.com" </w:instrText>
      </w:r>
      <w:r>
        <w:rPr>
          <w:rFonts w:hint="eastAsia" w:ascii="方正仿宋_GBK" w:hAnsi="方正仿宋_GBK" w:eastAsia="方正仿宋_GBK" w:cs="方正仿宋_GBK"/>
          <w:color w:val="auto"/>
          <w:sz w:val="28"/>
          <w:szCs w:val="28"/>
          <w:highlight w:val="none"/>
        </w:rPr>
        <w:fldChar w:fldCharType="separate"/>
      </w:r>
      <w:r>
        <w:rPr>
          <w:rStyle w:val="20"/>
          <w:rFonts w:hint="eastAsia" w:ascii="方正仿宋_GBK" w:hAnsi="方正仿宋_GBK" w:eastAsia="方正仿宋_GBK" w:cs="方正仿宋_GBK"/>
          <w:color w:val="auto"/>
          <w:sz w:val="28"/>
          <w:szCs w:val="28"/>
          <w:highlight w:val="none"/>
        </w:rPr>
        <w:t>www.cqdky.com</w:t>
      </w:r>
      <w:r>
        <w:rPr>
          <w:rStyle w:val="20"/>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sz w:val="28"/>
          <w:szCs w:val="28"/>
          <w:highlight w:val="none"/>
        </w:rPr>
        <w:t>）上发布，请各供应商注意下载或到采购人处领取；无论供应商下载或领取与否，均视同供应商已知晓本项目澄清文件（如果有）的内容。</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（六）超过响应文件截止时间递交的响应文件，恕不接收。</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（七）谈判费用：无论谈判结果如何，供应商参与本项目谈判的所有费用均应由供应商自行承担。</w:t>
      </w:r>
    </w:p>
    <w:p>
      <w:pPr>
        <w:snapToGrid w:val="0"/>
        <w:spacing w:line="360" w:lineRule="exact"/>
        <w:ind w:firstLine="422" w:firstLineChars="15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（八）本项目不接受联合体参与谈判，否则按无效处理。</w:t>
      </w:r>
    </w:p>
    <w:p>
      <w:pPr>
        <w:snapToGrid w:val="0"/>
        <w:spacing w:line="360" w:lineRule="exact"/>
        <w:ind w:firstLine="422" w:firstLineChars="15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（九）本项目不接受合同转包，否则按无效处理。</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（十）供应商列入失信被执行人、重大税收违法案件当事人名单、政府采购严重违法失信行为记录名单及其他不符合《中华人民共和国政府采购法》第二十二条规定条件的供应商，将拒绝其参与本次采购活动。</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49" w:name="_Toc7899"/>
      <w:bookmarkStart w:id="50" w:name="_Toc1733"/>
      <w:bookmarkStart w:id="51" w:name="_Toc10415"/>
      <w:bookmarkStart w:id="52" w:name="_Toc31636"/>
      <w:bookmarkStart w:id="53" w:name="_Toc521053056"/>
      <w:bookmarkStart w:id="54" w:name="_Toc65660337"/>
      <w:bookmarkStart w:id="55" w:name="_Toc525047164"/>
      <w:r>
        <w:rPr>
          <w:rFonts w:hint="eastAsia" w:ascii="方正仿宋_GBK" w:hAnsi="方正仿宋_GBK" w:eastAsia="方正仿宋_GBK" w:cs="方正仿宋_GBK"/>
          <w:sz w:val="28"/>
          <w:szCs w:val="28"/>
          <w:highlight w:val="none"/>
        </w:rPr>
        <w:t>七、联系方式</w:t>
      </w:r>
      <w:bookmarkEnd w:id="49"/>
      <w:bookmarkEnd w:id="50"/>
      <w:bookmarkEnd w:id="51"/>
      <w:bookmarkEnd w:id="52"/>
      <w:bookmarkEnd w:id="53"/>
      <w:bookmarkEnd w:id="54"/>
      <w:bookmarkEnd w:id="55"/>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联系人：孙老师</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  话：023-81925854</w:t>
      </w:r>
    </w:p>
    <w:p>
      <w:pPr>
        <w:snapToGrid w:val="0"/>
        <w:spacing w:line="360" w:lineRule="exact"/>
        <w:ind w:firstLine="560" w:firstLineChars="200"/>
        <w:rPr>
          <w:rFonts w:hint="eastAsia" w:ascii="方正仿宋_GBK" w:hAnsi="方正仿宋_GBK" w:eastAsia="方正仿宋_GBK" w:cs="方正仿宋_GBK"/>
          <w:sz w:val="28"/>
          <w:szCs w:val="28"/>
          <w:highlight w:val="none"/>
        </w:rPr>
        <w:sectPr>
          <w:footerReference r:id="rId9" w:type="default"/>
          <w:pgSz w:w="11907" w:h="16840"/>
          <w:pgMar w:top="1134" w:right="1418" w:bottom="1134" w:left="1418" w:header="964" w:footer="992" w:gutter="0"/>
          <w:pgNumType w:start="1"/>
          <w:cols w:space="720" w:num="1"/>
          <w:docGrid w:linePitch="312" w:charSpace="0"/>
        </w:sectPr>
      </w:pPr>
      <w:r>
        <w:rPr>
          <w:rFonts w:hint="eastAsia" w:ascii="方正仿宋_GBK" w:hAnsi="方正仿宋_GBK" w:eastAsia="方正仿宋_GBK" w:cs="方正仿宋_GBK"/>
          <w:sz w:val="28"/>
          <w:szCs w:val="28"/>
          <w:highlight w:val="none"/>
        </w:rPr>
        <w:t>地  址：重庆市渝北区兰馨大道111号</w:t>
      </w:r>
    </w:p>
    <w:p>
      <w:pPr>
        <w:pStyle w:val="4"/>
        <w:jc w:val="center"/>
        <w:rPr>
          <w:rFonts w:ascii="Times New Roman" w:hAnsi="Times New Roman" w:cs="Times New Roman"/>
          <w:b w:val="0"/>
          <w:szCs w:val="30"/>
          <w:highlight w:val="none"/>
        </w:rPr>
      </w:pPr>
      <w:bookmarkStart w:id="56" w:name="_Toc20921"/>
      <w:bookmarkStart w:id="57" w:name="_Toc20386"/>
      <w:bookmarkStart w:id="58" w:name="_Toc1292"/>
      <w:bookmarkStart w:id="59" w:name="_Toc14516"/>
      <w:bookmarkStart w:id="60" w:name="_Toc65660338"/>
      <w:bookmarkStart w:id="61" w:name="_Toc102227313"/>
      <w:r>
        <w:rPr>
          <w:rFonts w:ascii="Times New Roman" w:hAnsi="Times New Roman" w:cs="Times New Roman"/>
          <w:highlight w:val="none"/>
        </w:rPr>
        <w:t>第二篇  谈判项目技术（质量）需求</w:t>
      </w:r>
      <w:bookmarkEnd w:id="56"/>
      <w:bookmarkEnd w:id="57"/>
      <w:bookmarkEnd w:id="58"/>
      <w:bookmarkEnd w:id="59"/>
      <w:bookmarkEnd w:id="60"/>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62" w:name="_Toc21452"/>
      <w:bookmarkStart w:id="63" w:name="_Toc26971"/>
      <w:bookmarkStart w:id="64" w:name="_Toc24129"/>
      <w:bookmarkStart w:id="65" w:name="_Toc8650"/>
      <w:bookmarkStart w:id="66" w:name="_Toc65660339"/>
      <w:r>
        <w:rPr>
          <w:rFonts w:hint="eastAsia" w:ascii="方正仿宋_GBK" w:hAnsi="方正仿宋_GBK" w:eastAsia="方正仿宋_GBK" w:cs="方正仿宋_GBK"/>
          <w:sz w:val="28"/>
          <w:szCs w:val="28"/>
          <w:highlight w:val="none"/>
        </w:rPr>
        <w:t>一、</w:t>
      </w:r>
      <w:r>
        <w:rPr>
          <w:rFonts w:hint="eastAsia" w:ascii="方正仿宋_GBK" w:hAnsi="方正仿宋_GBK" w:eastAsia="方正仿宋_GBK" w:cs="方正仿宋_GBK"/>
          <w:sz w:val="28"/>
          <w:szCs w:val="28"/>
          <w:highlight w:val="none"/>
          <w:lang w:val="en-US" w:eastAsia="zh-CN"/>
        </w:rPr>
        <w:t>采购内容</w:t>
      </w:r>
      <w:r>
        <w:rPr>
          <w:rFonts w:hint="eastAsia" w:ascii="方正仿宋_GBK" w:hAnsi="方正仿宋_GBK" w:eastAsia="方正仿宋_GBK" w:cs="方正仿宋_GBK"/>
          <w:sz w:val="28"/>
          <w:szCs w:val="28"/>
          <w:highlight w:val="none"/>
        </w:rPr>
        <w:t>一览表</w:t>
      </w:r>
      <w:bookmarkEnd w:id="62"/>
      <w:bookmarkEnd w:id="63"/>
      <w:bookmarkEnd w:id="64"/>
      <w:bookmarkEnd w:id="65"/>
      <w:bookmarkEnd w:id="66"/>
    </w:p>
    <w:tbl>
      <w:tblPr>
        <w:tblStyle w:val="1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3508"/>
        <w:gridCol w:w="1361"/>
        <w:gridCol w:w="1350"/>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99"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序号</w:t>
            </w:r>
          </w:p>
        </w:tc>
        <w:tc>
          <w:tcPr>
            <w:tcW w:w="3508"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项目名称</w:t>
            </w:r>
          </w:p>
        </w:tc>
        <w:tc>
          <w:tcPr>
            <w:tcW w:w="1361"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数量</w:t>
            </w:r>
          </w:p>
        </w:tc>
        <w:tc>
          <w:tcPr>
            <w:tcW w:w="1350"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单位</w:t>
            </w:r>
          </w:p>
        </w:tc>
        <w:tc>
          <w:tcPr>
            <w:tcW w:w="2297" w:type="dxa"/>
            <w:vAlign w:val="center"/>
          </w:tcPr>
          <w:p>
            <w:pPr>
              <w:spacing w:line="3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99" w:type="dxa"/>
            <w:vAlign w:val="center"/>
          </w:tcPr>
          <w:p>
            <w:pPr>
              <w:pStyle w:val="7"/>
              <w:spacing w:line="360" w:lineRule="exact"/>
              <w:ind w:left="0"/>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p>
        </w:tc>
        <w:tc>
          <w:tcPr>
            <w:tcW w:w="3508" w:type="dxa"/>
            <w:vAlign w:val="center"/>
          </w:tcPr>
          <w:p>
            <w:pPr>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矿产品监测平台系统及安全维护升级技术服务</w:t>
            </w:r>
          </w:p>
        </w:tc>
        <w:tc>
          <w:tcPr>
            <w:tcW w:w="1361" w:type="dxa"/>
            <w:vAlign w:val="center"/>
          </w:tcPr>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p>
        </w:tc>
        <w:tc>
          <w:tcPr>
            <w:tcW w:w="1350" w:type="dxa"/>
            <w:vAlign w:val="center"/>
          </w:tcPr>
          <w:p>
            <w:pPr>
              <w:snapToGrid w:val="0"/>
              <w:spacing w:line="36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w:t>
            </w:r>
          </w:p>
        </w:tc>
        <w:tc>
          <w:tcPr>
            <w:tcW w:w="2297" w:type="dxa"/>
            <w:vAlign w:val="center"/>
          </w:tcPr>
          <w:p>
            <w:pPr>
              <w:spacing w:line="360" w:lineRule="exact"/>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w:t>
            </w:r>
          </w:p>
        </w:tc>
      </w:tr>
    </w:tbl>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67" w:name="_Toc20231"/>
      <w:r>
        <w:rPr>
          <w:rFonts w:hint="eastAsia" w:ascii="方正仿宋_GBK" w:hAnsi="方正仿宋_GBK" w:eastAsia="方正仿宋_GBK" w:cs="方正仿宋_GBK"/>
          <w:sz w:val="28"/>
          <w:szCs w:val="28"/>
          <w:highlight w:val="none"/>
        </w:rPr>
        <w:t>二、</w:t>
      </w:r>
      <w:r>
        <w:rPr>
          <w:rFonts w:hint="eastAsia" w:ascii="方正仿宋_GBK" w:hAnsi="方正仿宋_GBK" w:eastAsia="方正仿宋_GBK" w:cs="方正仿宋_GBK"/>
          <w:sz w:val="28"/>
          <w:szCs w:val="28"/>
          <w:highlight w:val="none"/>
          <w:lang w:val="en-US" w:eastAsia="zh-CN"/>
        </w:rPr>
        <w:t>技术要求</w:t>
      </w:r>
      <w:bookmarkEnd w:id="67"/>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w:t>
      </w:r>
      <w:r>
        <w:rPr>
          <w:rFonts w:hint="eastAsia" w:ascii="方正仿宋_GBK" w:hAnsi="方正仿宋_GBK" w:eastAsia="方正仿宋_GBK" w:cs="方正仿宋_GBK"/>
          <w:sz w:val="28"/>
          <w:szCs w:val="28"/>
          <w:highlight w:val="none"/>
          <w:lang w:val="en-US" w:eastAsia="zh-CN"/>
        </w:rPr>
        <w:t>技术服务要求</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供应商需组建不少于5人的团队为本项目提供专业服务，其中项目负责人1人，项目联络人1人（项目负责人和项目联络人可为同一人，总人数不得少于5人）</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项目负责人须</w:t>
      </w:r>
      <w:r>
        <w:rPr>
          <w:rFonts w:hint="eastAsia" w:ascii="方正仿宋_GBK" w:hAnsi="方正仿宋_GBK" w:eastAsia="方正仿宋_GBK" w:cs="方正仿宋_GBK"/>
          <w:sz w:val="28"/>
          <w:szCs w:val="28"/>
          <w:highlight w:val="none"/>
        </w:rPr>
        <w:t>持有有效的信息系统项目管理师证书。提供团队成员名单、在本项目中担任的职责，以上材料加盖供应商公章。</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二</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技术能力要求</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供应商应</w:t>
      </w:r>
      <w:r>
        <w:rPr>
          <w:rFonts w:hint="eastAsia" w:ascii="方正仿宋_GBK" w:hAnsi="方正仿宋_GBK" w:eastAsia="方正仿宋_GBK" w:cs="方正仿宋_GBK"/>
          <w:sz w:val="28"/>
          <w:szCs w:val="28"/>
          <w:highlight w:val="none"/>
        </w:rPr>
        <w:t>具备近三年承担相关信息系统平台开发及运维服务的实际经验</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并</w:t>
      </w:r>
      <w:r>
        <w:rPr>
          <w:rFonts w:hint="eastAsia" w:ascii="方正仿宋_GBK" w:hAnsi="方正仿宋_GBK" w:eastAsia="方正仿宋_GBK" w:cs="方正仿宋_GBK"/>
          <w:color w:val="auto"/>
          <w:sz w:val="28"/>
          <w:szCs w:val="28"/>
          <w:highlight w:val="none"/>
          <w:lang w:eastAsia="zh-CN"/>
        </w:rPr>
        <w:t>具备网络安全红蓝对抗演练实际操作能力</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sz w:val="28"/>
          <w:szCs w:val="28"/>
          <w:highlight w:val="none"/>
          <w:lang w:eastAsia="zh-CN"/>
        </w:rPr>
        <w:t>需提供至少1项相关业绩的完整技术服务合同。</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68" w:name="_Toc28725"/>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技术工作内容</w:t>
      </w:r>
      <w:bookmarkEnd w:id="68"/>
    </w:p>
    <w:p>
      <w:pPr>
        <w:snapToGrid w:val="0"/>
        <w:spacing w:line="3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一</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系统升级（</w:t>
      </w:r>
      <w:r>
        <w:rPr>
          <w:rFonts w:hint="eastAsia" w:ascii="方正仿宋_GBK" w:hAnsi="方正仿宋_GBK" w:eastAsia="方正仿宋_GBK" w:cs="方正仿宋_GBK"/>
          <w:sz w:val="28"/>
          <w:szCs w:val="28"/>
          <w:highlight w:val="none"/>
        </w:rPr>
        <w:t>按新《矿产资源法》要求开展平台</w:t>
      </w:r>
      <w:r>
        <w:rPr>
          <w:rFonts w:hint="eastAsia" w:ascii="方正仿宋_GBK" w:hAnsi="方正仿宋_GBK" w:eastAsia="方正仿宋_GBK" w:cs="方正仿宋_GBK"/>
          <w:sz w:val="28"/>
          <w:szCs w:val="28"/>
          <w:highlight w:val="none"/>
          <w:lang w:val="en-US" w:eastAsia="zh-CN"/>
        </w:rPr>
        <w:t>升级</w:t>
      </w:r>
      <w:r>
        <w:rPr>
          <w:rFonts w:hint="eastAsia" w:ascii="方正仿宋_GBK" w:hAnsi="方正仿宋_GBK" w:eastAsia="方正仿宋_GBK" w:cs="方正仿宋_GBK"/>
          <w:sz w:val="28"/>
          <w:szCs w:val="28"/>
          <w:highlight w:val="none"/>
        </w:rPr>
        <w:t>改造，若</w:t>
      </w:r>
      <w:r>
        <w:rPr>
          <w:rFonts w:hint="eastAsia" w:ascii="方正仿宋_GBK" w:hAnsi="方正仿宋_GBK" w:eastAsia="方正仿宋_GBK" w:cs="方正仿宋_GBK"/>
          <w:sz w:val="28"/>
          <w:szCs w:val="28"/>
          <w:highlight w:val="none"/>
          <w:lang w:val="en-US" w:eastAsia="zh-CN"/>
        </w:rPr>
        <w:t>后续</w:t>
      </w:r>
      <w:r>
        <w:rPr>
          <w:rFonts w:hint="eastAsia" w:ascii="方正仿宋_GBK" w:hAnsi="方正仿宋_GBK" w:eastAsia="方正仿宋_GBK" w:cs="方正仿宋_GBK"/>
          <w:sz w:val="28"/>
          <w:szCs w:val="28"/>
          <w:highlight w:val="none"/>
        </w:rPr>
        <w:t>有新的政策文件要求，一并细化完善</w:t>
      </w:r>
      <w:r>
        <w:rPr>
          <w:rFonts w:hint="eastAsia" w:ascii="方正仿宋_GBK" w:hAnsi="方正仿宋_GBK" w:eastAsia="方正仿宋_GBK" w:cs="方正仿宋_GBK"/>
          <w:sz w:val="28"/>
          <w:szCs w:val="28"/>
          <w:highlight w:val="none"/>
          <w:lang w:eastAsia="zh-CN"/>
        </w:rPr>
        <w:t>）</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1.新旧矿种逻辑平滑过渡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①构建双轨制数据管理，确保新旧矿种分类标准并行运行期间数据完整性与业务连续性。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②开发数据映射引擎，实现新旧矿种编码自动转换与历史数据回溯兼容。</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2.矿种分类体系标准化重构</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①依据最新要求重构矿种分类。</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②开发动态维护模块，支持后续政策调整的快速响应。</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3.报表体系智能化升级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①重构</w:t>
      </w:r>
      <w:r>
        <w:rPr>
          <w:rFonts w:hint="eastAsia" w:ascii="方正仿宋_GBK" w:hAnsi="方正仿宋_GBK" w:eastAsia="方正仿宋_GBK" w:cs="方正仿宋_GBK"/>
          <w:sz w:val="28"/>
          <w:szCs w:val="28"/>
          <w:highlight w:val="none"/>
          <w:lang w:val="en-US" w:eastAsia="zh-CN"/>
        </w:rPr>
        <w:t>报表</w:t>
      </w:r>
      <w:r>
        <w:rPr>
          <w:rFonts w:hint="eastAsia" w:ascii="方正仿宋_GBK" w:hAnsi="方正仿宋_GBK" w:eastAsia="方正仿宋_GBK" w:cs="方正仿宋_GBK"/>
          <w:sz w:val="28"/>
          <w:szCs w:val="28"/>
          <w:highlight w:val="none"/>
        </w:rPr>
        <w:t>生成引擎，实现矿种选项动态加载与智能校验</w:t>
      </w:r>
      <w:r>
        <w:rPr>
          <w:rFonts w:hint="eastAsia" w:ascii="方正仿宋_GBK" w:hAnsi="方正仿宋_GBK" w:eastAsia="方正仿宋_GBK" w:cs="方正仿宋_GBK"/>
          <w:sz w:val="28"/>
          <w:szCs w:val="28"/>
          <w:highlight w:val="none"/>
          <w:lang w:eastAsia="zh-CN"/>
        </w:rPr>
        <w:t>，实现</w:t>
      </w:r>
      <w:r>
        <w:rPr>
          <w:rFonts w:hint="eastAsia" w:ascii="方正仿宋_GBK" w:hAnsi="方正仿宋_GBK" w:eastAsia="方正仿宋_GBK" w:cs="方正仿宋_GBK"/>
          <w:sz w:val="28"/>
          <w:szCs w:val="28"/>
          <w:highlight w:val="none"/>
          <w:lang w:val="en-US" w:eastAsia="zh-CN"/>
        </w:rPr>
        <w:t>月报与其他报表</w:t>
      </w:r>
      <w:r>
        <w:rPr>
          <w:rFonts w:hint="eastAsia" w:ascii="方正仿宋_GBK" w:hAnsi="方正仿宋_GBK" w:eastAsia="方正仿宋_GBK" w:cs="方正仿宋_GBK"/>
          <w:sz w:val="28"/>
          <w:szCs w:val="28"/>
          <w:highlight w:val="none"/>
          <w:lang w:eastAsia="zh-CN"/>
        </w:rPr>
        <w:t>数据联动与一致性校验，防止数据脱节</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并根据工作实际需要，适时完善报表架构体系和逻辑结构关联。</w:t>
      </w:r>
      <w:r>
        <w:rPr>
          <w:rFonts w:hint="eastAsia" w:ascii="方正仿宋_GBK" w:hAnsi="方正仿宋_GBK" w:eastAsia="方正仿宋_GBK" w:cs="方正仿宋_GBK"/>
          <w:sz w:val="28"/>
          <w:szCs w:val="28"/>
          <w:highlight w:val="none"/>
        </w:rPr>
        <w:t>支持用户自定义业务校验逻辑，内置不少于50类常见数据逻辑错误</w:t>
      </w:r>
      <w:r>
        <w:rPr>
          <w:rFonts w:hint="eastAsia" w:ascii="方正仿宋_GBK" w:hAnsi="方正仿宋_GBK" w:eastAsia="方正仿宋_GBK" w:cs="方正仿宋_GBK"/>
          <w:color w:val="auto"/>
          <w:sz w:val="28"/>
          <w:szCs w:val="28"/>
          <w:highlight w:val="none"/>
          <w:lang w:val="en-US" w:eastAsia="zh-CN"/>
        </w:rPr>
        <w:t>判断方式</w:t>
      </w:r>
      <w:r>
        <w:rPr>
          <w:rFonts w:hint="eastAsia" w:ascii="方正仿宋_GBK" w:hAnsi="方正仿宋_GBK" w:eastAsia="方正仿宋_GBK" w:cs="方正仿宋_GBK"/>
          <w:sz w:val="28"/>
          <w:szCs w:val="28"/>
          <w:highlight w:val="none"/>
        </w:rPr>
        <w:t>。</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②增加新矿种分类自动适配功能，确保报表数据与最新分类标准无缝对接。</w:t>
      </w:r>
    </w:p>
    <w:p>
      <w:pPr>
        <w:snapToGrid w:val="0"/>
        <w:spacing w:line="3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（二）安全维护升级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1.系统安全体检</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系统安全维护升级：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针对平台基础设施开展纵深防御体系评估，包括网络安全（防火墙、入侵检测/防御系统及DDoS防护）、服务器与软件安全（操作系统/应用补丁管理、配置漏洞修复）、应用层防护（代码漏洞扫描与SQL注入/XSS防御）、终端安全（设备加密与恶意软件防护），以及实时威胁监控与应急响应（SIEM日志分析与事件处置预案）。全面强化系统韧性，抵御外部攻击与内部风险，保障服务高可用性与业务稳定运行。包括：</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①分层防御体系优化设计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②服务器与软件补丁与配置管理，确定服务器安全监测</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③聚焦代码与接口安全，完成代码安全治理完成接口与数据交互防护</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④对阿里云、紫光云、微信小程序等不同平台实现统一安全监测与漏洞管理。</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⑤独立组织网络安全红蓝对抗演练模拟攻击与防御。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2.数据安全维护升级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对矿产品监测平台、矿产品交易信息网等系统进行数据全生命周期安全评估，涵盖数据传输加密（如TLS）、存储加密（如AES）、访问控制（基于角色的权限管理与多因素认证）、数据完整性校验（哈希/校验和）、灾备能力（定期异地备份与恢复机制）及敏感信息防护（数据脱敏与操作审计）。同时审查合规性（GDPR/行业标准），确保数据在传输、存储和处理过程中防泄露、防篡改，并保障业务连续性。</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（三）运维及其他技术服务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 年度运维服务</w:t>
      </w:r>
    </w:p>
    <w:p>
      <w:p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矿产品监测平台、矿产品交易信息网等系统提供以下服务：7×24小时远程系统运行保障服务、群内日常问题解答服务、系统操作性指导服务、数据备份与灾难恢复、日志审计与异常行为监控、帐号权限与访问控制、故障排查与应急响应、异常数据处理服务、提供系统功能优化服务。</w:t>
      </w:r>
    </w:p>
    <w:p>
      <w:pPr>
        <w:numPr>
          <w:ilvl w:val="0"/>
          <w:numId w:val="1"/>
        </w:numPr>
        <w:snapToGri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其他技术服务</w:t>
      </w:r>
    </w:p>
    <w:p>
      <w:pPr>
        <w:snapToGrid w:val="0"/>
        <w:spacing w:line="36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矿产品监测平台、矿产品交易信息网等系统提供以下服务：平台间共享互通保障服务、阿里云服务器安全日常安全监测和漏洞修复、域名流量监测、服务器和域名备案服务、紫光云服务器安全日常安全监测和漏洞修复、微信小程序备案、管理等后台管理服务。</w:t>
      </w:r>
    </w:p>
    <w:p>
      <w:pPr>
        <w:snapToGrid w:val="0"/>
        <w:spacing w:line="360" w:lineRule="exact"/>
        <w:ind w:firstLine="480" w:firstLineChars="200"/>
        <w:jc w:val="left"/>
        <w:rPr>
          <w:rFonts w:ascii="Times New Roman" w:hAnsi="Times New Roman" w:eastAsia="方正仿宋_GBK" w:cs="Times New Roman"/>
          <w:sz w:val="24"/>
          <w:highlight w:val="none"/>
        </w:rPr>
      </w:pPr>
    </w:p>
    <w:p>
      <w:pPr>
        <w:snapToGrid w:val="0"/>
        <w:spacing w:line="360" w:lineRule="exact"/>
        <w:ind w:firstLine="480" w:firstLineChars="200"/>
        <w:jc w:val="left"/>
        <w:rPr>
          <w:rFonts w:ascii="Times New Roman" w:hAnsi="Times New Roman" w:eastAsia="方正仿宋_GBK" w:cs="Times New Roman"/>
          <w:sz w:val="24"/>
          <w:highlight w:val="none"/>
        </w:rPr>
      </w:pPr>
    </w:p>
    <w:p>
      <w:pPr>
        <w:pStyle w:val="6"/>
        <w:ind w:firstLine="480"/>
        <w:rPr>
          <w:rFonts w:ascii="Times New Roman" w:hAnsi="Times New Roman" w:eastAsia="方正仿宋_GBK" w:cs="Times New Roman"/>
          <w:sz w:val="24"/>
          <w:highlight w:val="none"/>
        </w:rPr>
      </w:pPr>
    </w:p>
    <w:p>
      <w:pPr>
        <w:rPr>
          <w:highlight w:val="none"/>
        </w:rPr>
        <w:sectPr>
          <w:footerReference r:id="rId10" w:type="default"/>
          <w:footerReference r:id="rId11" w:type="even"/>
          <w:pgSz w:w="11907" w:h="16840"/>
          <w:pgMar w:top="1134" w:right="1191" w:bottom="1134" w:left="1304" w:header="964" w:footer="992" w:gutter="0"/>
          <w:cols w:space="720" w:num="1"/>
          <w:docGrid w:linePitch="312" w:charSpace="0"/>
        </w:sectPr>
      </w:pPr>
    </w:p>
    <w:p>
      <w:pPr>
        <w:pStyle w:val="4"/>
        <w:jc w:val="center"/>
        <w:rPr>
          <w:rFonts w:ascii="Times New Roman" w:hAnsi="Times New Roman" w:cs="Times New Roman"/>
          <w:bCs/>
          <w:szCs w:val="30"/>
          <w:highlight w:val="none"/>
        </w:rPr>
      </w:pPr>
      <w:bookmarkStart w:id="69" w:name="_Toc15492"/>
      <w:bookmarkStart w:id="70" w:name="_Toc13356"/>
      <w:bookmarkStart w:id="71" w:name="_Toc65660341"/>
      <w:bookmarkStart w:id="72" w:name="_Toc20078"/>
      <w:r>
        <w:rPr>
          <w:rFonts w:ascii="Times New Roman" w:hAnsi="Times New Roman" w:cs="Times New Roman"/>
          <w:highlight w:val="none"/>
        </w:rPr>
        <w:t xml:space="preserve">第三篇  </w:t>
      </w:r>
      <w:bookmarkEnd w:id="61"/>
      <w:r>
        <w:rPr>
          <w:rFonts w:ascii="Times New Roman" w:hAnsi="Times New Roman" w:cs="Times New Roman"/>
          <w:highlight w:val="none"/>
        </w:rPr>
        <w:t>谈判项目服务</w:t>
      </w:r>
      <w:bookmarkEnd w:id="69"/>
      <w:bookmarkEnd w:id="70"/>
      <w:bookmarkEnd w:id="71"/>
      <w:r>
        <w:rPr>
          <w:rFonts w:ascii="Times New Roman" w:hAnsi="Times New Roman" w:cs="Times New Roman"/>
          <w:highlight w:val="none"/>
        </w:rPr>
        <w:t>需求</w:t>
      </w:r>
      <w:bookmarkEnd w:id="72"/>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73" w:name="_Toc65660342"/>
      <w:bookmarkStart w:id="74" w:name="_Toc13555"/>
      <w:bookmarkStart w:id="75" w:name="_Toc12935"/>
      <w:bookmarkStart w:id="76" w:name="_Toc31017"/>
      <w:bookmarkStart w:id="77" w:name="_Toc13517"/>
      <w:bookmarkStart w:id="78" w:name="_Toc342913389"/>
      <w:r>
        <w:rPr>
          <w:rFonts w:hint="eastAsia" w:ascii="方正仿宋_GBK" w:hAnsi="方正仿宋_GBK" w:eastAsia="方正仿宋_GBK" w:cs="方正仿宋_GBK"/>
          <w:sz w:val="28"/>
          <w:szCs w:val="28"/>
          <w:highlight w:val="none"/>
        </w:rPr>
        <w:t>一、服务时间、地点及验收方式</w:t>
      </w:r>
      <w:bookmarkEnd w:id="73"/>
      <w:bookmarkEnd w:id="74"/>
      <w:bookmarkEnd w:id="75"/>
      <w:bookmarkEnd w:id="76"/>
      <w:bookmarkEnd w:id="77"/>
    </w:p>
    <w:p>
      <w:pPr>
        <w:pStyle w:val="10"/>
        <w:spacing w:line="360" w:lineRule="exact"/>
        <w:ind w:firstLine="420" w:firstLineChars="150"/>
        <w:outlineLvl w:val="2"/>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sz w:val="28"/>
          <w:szCs w:val="28"/>
          <w:highlight w:val="none"/>
        </w:rPr>
        <w:t>（一）服务时间：</w:t>
      </w:r>
      <w:r>
        <w:rPr>
          <w:rFonts w:hint="eastAsia" w:ascii="方正仿宋_GBK" w:hAnsi="方正仿宋_GBK" w:eastAsia="方正仿宋_GBK" w:cs="方正仿宋_GBK"/>
          <w:sz w:val="28"/>
          <w:szCs w:val="28"/>
          <w:highlight w:val="none"/>
          <w:lang w:val="en-US" w:eastAsia="zh-CN"/>
        </w:rPr>
        <w:t>合同签订后60天</w:t>
      </w:r>
      <w:r>
        <w:rPr>
          <w:rFonts w:hint="eastAsia" w:ascii="方正仿宋_GBK" w:hAnsi="方正仿宋_GBK" w:eastAsia="方正仿宋_GBK" w:cs="方正仿宋_GBK"/>
          <w:sz w:val="28"/>
          <w:szCs w:val="28"/>
          <w:highlight w:val="none"/>
        </w:rPr>
        <w:t>（具体</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时间以采购人项目进度及合同约定为准）</w:t>
      </w:r>
      <w:r>
        <w:rPr>
          <w:rFonts w:hint="eastAsia" w:ascii="方正仿宋_GBK" w:hAnsi="方正仿宋_GBK" w:eastAsia="方正仿宋_GBK" w:cs="方正仿宋_GBK"/>
          <w:color w:val="000000"/>
          <w:sz w:val="28"/>
          <w:szCs w:val="28"/>
          <w:highlight w:val="none"/>
        </w:rPr>
        <w:t>。</w:t>
      </w:r>
    </w:p>
    <w:p>
      <w:pPr>
        <w:pStyle w:val="10"/>
        <w:spacing w:line="360" w:lineRule="exact"/>
        <w:ind w:firstLine="420" w:firstLineChars="150"/>
        <w:outlineLvl w:val="2"/>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sz w:val="28"/>
          <w:szCs w:val="28"/>
          <w:highlight w:val="none"/>
        </w:rPr>
        <w:t>（二）服务地点：</w:t>
      </w:r>
      <w:r>
        <w:rPr>
          <w:rFonts w:hint="eastAsia" w:ascii="方正仿宋_GBK" w:hAnsi="方正仿宋_GBK" w:eastAsia="方正仿宋_GBK" w:cs="方正仿宋_GBK"/>
          <w:color w:val="000000"/>
          <w:sz w:val="28"/>
          <w:szCs w:val="28"/>
          <w:highlight w:val="none"/>
        </w:rPr>
        <w:t>重庆市渝北区，具体服务地点以采购人指定位置为准。</w:t>
      </w:r>
    </w:p>
    <w:p>
      <w:pPr>
        <w:pStyle w:val="10"/>
        <w:spacing w:line="360" w:lineRule="exact"/>
        <w:ind w:firstLine="420" w:firstLineChars="150"/>
        <w:outlineLvl w:val="2"/>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（三）验收方式：</w:t>
      </w:r>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1.供应商须按照采购人要求，合理安排足够人员，在规定时间内完成工作内容，项目验收标准为通过采购人验收。</w:t>
      </w:r>
    </w:p>
    <w:p>
      <w:pPr>
        <w:adjustRightInd w:val="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rPr>
        <w:t>2.采购人成立考核组，对系统改造情况、系统稳定性和安全性</w:t>
      </w:r>
      <w:r>
        <w:rPr>
          <w:rFonts w:hint="eastAsia" w:ascii="方正仿宋_GBK" w:hAnsi="方正仿宋_GBK" w:eastAsia="方正仿宋_GBK" w:cs="方正仿宋_GBK"/>
          <w:sz w:val="28"/>
          <w:szCs w:val="28"/>
          <w:highlight w:val="none"/>
        </w:rPr>
        <w:t>等进行验收，若因供应商失误造成采购人损失，供应商应承担相应责任。</w:t>
      </w:r>
    </w:p>
    <w:p>
      <w:pPr>
        <w:adjustRightInd w:val="0"/>
        <w:spacing w:line="360" w:lineRule="exact"/>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trike w:val="0"/>
          <w:dstrike w:val="0"/>
          <w:color w:val="000000"/>
          <w:sz w:val="28"/>
          <w:szCs w:val="28"/>
          <w:highlight w:val="none"/>
          <w:lang w:val="en-US" w:eastAsia="zh-CN"/>
        </w:rPr>
        <w:t>3</w:t>
      </w:r>
      <w:r>
        <w:rPr>
          <w:rFonts w:hint="eastAsia" w:ascii="方正仿宋_GBK" w:hAnsi="方正仿宋_GBK" w:eastAsia="方正仿宋_GBK" w:cs="方正仿宋_GBK"/>
          <w:color w:val="000000"/>
          <w:sz w:val="28"/>
          <w:szCs w:val="28"/>
          <w:highlight w:val="none"/>
        </w:rPr>
        <w:t>.供应商需提供不少于</w:t>
      </w:r>
      <w:r>
        <w:rPr>
          <w:rFonts w:hint="eastAsia" w:ascii="方正仿宋_GBK" w:hAnsi="方正仿宋_GBK" w:eastAsia="方正仿宋_GBK" w:cs="方正仿宋_GBK"/>
          <w:color w:val="000000"/>
          <w:sz w:val="28"/>
          <w:szCs w:val="28"/>
          <w:highlight w:val="none"/>
          <w:lang w:val="en-US" w:eastAsia="zh-CN"/>
        </w:rPr>
        <w:t>3</w:t>
      </w:r>
      <w:r>
        <w:rPr>
          <w:rFonts w:hint="eastAsia" w:ascii="方正仿宋_GBK" w:hAnsi="方正仿宋_GBK" w:eastAsia="方正仿宋_GBK" w:cs="方正仿宋_GBK"/>
          <w:color w:val="000000"/>
          <w:sz w:val="28"/>
          <w:szCs w:val="28"/>
          <w:highlight w:val="none"/>
        </w:rPr>
        <w:t>个月的试运行期，试运行期间系统稳定性与安全性需达到99.9%以上。</w:t>
      </w:r>
      <w:r>
        <w:rPr>
          <w:rFonts w:hint="eastAsia" w:ascii="方正仿宋_GBK" w:hAnsi="方正仿宋_GBK" w:eastAsia="方正仿宋_GBK" w:cs="方正仿宋_GBK"/>
          <w:color w:val="000000"/>
          <w:sz w:val="28"/>
          <w:szCs w:val="28"/>
          <w:highlight w:val="none"/>
          <w:lang w:val="en-US" w:eastAsia="zh-CN"/>
        </w:rPr>
        <w:t>试运行期内若有新的政策要求，供应商应及时更新完善涉及的相关工作。</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79" w:name="_Toc18610"/>
      <w:bookmarkStart w:id="80" w:name="_Toc5600"/>
      <w:r>
        <w:rPr>
          <w:rFonts w:hint="eastAsia" w:ascii="方正仿宋_GBK" w:hAnsi="方正仿宋_GBK" w:eastAsia="方正仿宋_GBK" w:cs="方正仿宋_GBK"/>
          <w:sz w:val="28"/>
          <w:szCs w:val="28"/>
          <w:highlight w:val="none"/>
        </w:rPr>
        <w:t>二、质量保证</w:t>
      </w:r>
      <w:bookmarkEnd w:id="79"/>
      <w:bookmarkEnd w:id="80"/>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（一）严格按照采购人要求，提供符合相关技术标准的</w:t>
      </w:r>
      <w:r>
        <w:rPr>
          <w:rFonts w:hint="eastAsia" w:ascii="方正仿宋_GBK" w:hAnsi="方正仿宋_GBK" w:eastAsia="方正仿宋_GBK" w:cs="方正仿宋_GBK"/>
          <w:sz w:val="28"/>
          <w:szCs w:val="28"/>
          <w:highlight w:val="none"/>
        </w:rPr>
        <w:t>服务，并确保保质保量、按时完成技术</w:t>
      </w:r>
      <w:r>
        <w:rPr>
          <w:rFonts w:hint="eastAsia" w:ascii="方正仿宋_GBK" w:hAnsi="方正仿宋_GBK" w:eastAsia="方正仿宋_GBK" w:cs="方正仿宋_GBK"/>
          <w:color w:val="000000"/>
          <w:sz w:val="28"/>
          <w:szCs w:val="28"/>
          <w:highlight w:val="none"/>
        </w:rPr>
        <w:t>性服务工作。</w:t>
      </w:r>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（二）为采购人提供后期咨询服务。</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81" w:name="_Toc19225"/>
      <w:bookmarkStart w:id="82" w:name="_Toc12563"/>
      <w:bookmarkStart w:id="83" w:name="_Toc50556028"/>
      <w:bookmarkStart w:id="84" w:name="_Toc19150"/>
      <w:r>
        <w:rPr>
          <w:rFonts w:hint="eastAsia" w:ascii="方正仿宋_GBK" w:hAnsi="方正仿宋_GBK" w:eastAsia="方正仿宋_GBK" w:cs="方正仿宋_GBK"/>
          <w:sz w:val="28"/>
          <w:szCs w:val="28"/>
          <w:highlight w:val="none"/>
        </w:rPr>
        <w:t>三、报价要求</w:t>
      </w:r>
      <w:bookmarkEnd w:id="81"/>
      <w:bookmarkEnd w:id="82"/>
      <w:bookmarkEnd w:id="83"/>
      <w:bookmarkEnd w:id="84"/>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谈判报价须为人民币报价，包括完成本项目所需的成本</w:t>
      </w:r>
      <w:r>
        <w:rPr>
          <w:rFonts w:hint="eastAsia" w:ascii="方正仿宋_GBK" w:hAnsi="方正仿宋_GBK" w:eastAsia="方正仿宋_GBK" w:cs="方正仿宋_GBK"/>
          <w:sz w:val="28"/>
          <w:szCs w:val="28"/>
          <w:highlight w:val="none"/>
        </w:rPr>
        <w:t>、利润、税金、规费、政策性文件规定及合同包含的所有风险、责任等各项应有费用</w:t>
      </w:r>
      <w:r>
        <w:rPr>
          <w:rFonts w:hint="eastAsia" w:ascii="方正仿宋_GBK" w:hAnsi="方正仿宋_GBK" w:eastAsia="方正仿宋_GBK" w:cs="方正仿宋_GBK"/>
          <w:color w:val="000000"/>
          <w:sz w:val="28"/>
          <w:szCs w:val="28"/>
          <w:highlight w:val="none"/>
        </w:rPr>
        <w:t>。因供应商自身原因造成漏报、少报，皆由其自行承担责任，采购人不再另行补偿。</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85" w:name="_Toc4177"/>
      <w:bookmarkStart w:id="86" w:name="_Toc24804"/>
      <w:bookmarkStart w:id="87" w:name="_Toc50556029"/>
      <w:bookmarkStart w:id="88" w:name="_Toc19558"/>
      <w:r>
        <w:rPr>
          <w:rFonts w:hint="eastAsia" w:ascii="方正仿宋_GBK" w:hAnsi="方正仿宋_GBK" w:eastAsia="方正仿宋_GBK" w:cs="方正仿宋_GBK"/>
          <w:sz w:val="28"/>
          <w:szCs w:val="28"/>
          <w:highlight w:val="none"/>
        </w:rPr>
        <w:t>四、付款方式</w:t>
      </w:r>
      <w:bookmarkEnd w:id="85"/>
      <w:bookmarkEnd w:id="86"/>
      <w:bookmarkEnd w:id="87"/>
      <w:bookmarkEnd w:id="88"/>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bookmarkStart w:id="89" w:name="_Toc50556030"/>
      <w:r>
        <w:rPr>
          <w:rFonts w:hint="eastAsia" w:ascii="方正仿宋_GBK" w:hAnsi="方正仿宋_GBK" w:eastAsia="方正仿宋_GBK" w:cs="方正仿宋_GBK"/>
          <w:color w:val="000000"/>
          <w:sz w:val="28"/>
          <w:szCs w:val="28"/>
          <w:highlight w:val="none"/>
        </w:rPr>
        <w:t>（一）本项目无履约保证金。</w:t>
      </w:r>
    </w:p>
    <w:p>
      <w:pPr>
        <w:adjustRightInd w:val="0"/>
        <w:spacing w:line="360" w:lineRule="exact"/>
        <w:ind w:firstLine="560" w:firstLineChars="200"/>
        <w:rPr>
          <w:rFonts w:hint="eastAsia" w:ascii="方正仿宋_GBK" w:hAnsi="方正仿宋_GBK" w:eastAsia="方正仿宋_GBK" w:cs="方正仿宋_GBK"/>
          <w:color w:val="FF0000"/>
          <w:sz w:val="28"/>
          <w:szCs w:val="28"/>
          <w:highlight w:val="none"/>
        </w:rPr>
      </w:pPr>
      <w:r>
        <w:rPr>
          <w:rFonts w:hint="eastAsia" w:ascii="方正仿宋_GBK" w:hAnsi="方正仿宋_GBK" w:eastAsia="方正仿宋_GBK" w:cs="方正仿宋_GBK"/>
          <w:color w:val="000000"/>
          <w:sz w:val="28"/>
          <w:szCs w:val="28"/>
          <w:highlight w:val="none"/>
        </w:rPr>
        <w:t>（二）签订项目采购合同后，</w:t>
      </w:r>
      <w:r>
        <w:rPr>
          <w:rFonts w:hint="eastAsia" w:ascii="方正仿宋_GBK" w:hAnsi="方正仿宋_GBK" w:eastAsia="方正仿宋_GBK" w:cs="方正仿宋_GBK"/>
          <w:color w:val="000000"/>
          <w:sz w:val="28"/>
          <w:szCs w:val="28"/>
          <w:highlight w:val="none"/>
          <w:lang w:val="en-US" w:eastAsia="zh-CN"/>
        </w:rPr>
        <w:t>中选供应商需</w:t>
      </w:r>
      <w:r>
        <w:rPr>
          <w:rFonts w:hint="eastAsia" w:ascii="方正仿宋_GBK" w:hAnsi="方正仿宋_GBK" w:eastAsia="方正仿宋_GBK" w:cs="方正仿宋_GBK"/>
          <w:color w:val="000000"/>
          <w:sz w:val="28"/>
          <w:szCs w:val="28"/>
          <w:highlight w:val="none"/>
        </w:rPr>
        <w:t>向采购</w:t>
      </w:r>
      <w:r>
        <w:rPr>
          <w:rFonts w:hint="eastAsia" w:ascii="方正仿宋_GBK" w:hAnsi="方正仿宋_GBK" w:eastAsia="方正仿宋_GBK" w:cs="方正仿宋_GBK"/>
          <w:color w:val="000000"/>
          <w:sz w:val="28"/>
          <w:szCs w:val="28"/>
          <w:highlight w:val="none"/>
          <w:lang w:val="en-US" w:eastAsia="zh-CN"/>
        </w:rPr>
        <w:t>人</w:t>
      </w:r>
      <w:r>
        <w:rPr>
          <w:rFonts w:hint="eastAsia" w:ascii="方正仿宋_GBK" w:hAnsi="方正仿宋_GBK" w:eastAsia="方正仿宋_GBK" w:cs="方正仿宋_GBK"/>
          <w:color w:val="000000"/>
          <w:sz w:val="28"/>
          <w:szCs w:val="28"/>
          <w:highlight w:val="none"/>
        </w:rPr>
        <w:t>提交</w:t>
      </w:r>
      <w:r>
        <w:rPr>
          <w:rFonts w:hint="eastAsia" w:ascii="方正仿宋_GBK" w:hAnsi="方正仿宋_GBK" w:eastAsia="方正仿宋_GBK" w:cs="方正仿宋_GBK"/>
          <w:color w:val="000000"/>
          <w:sz w:val="28"/>
          <w:szCs w:val="28"/>
          <w:highlight w:val="none"/>
          <w:lang w:val="en-US" w:eastAsia="zh-CN"/>
        </w:rPr>
        <w:t>付款</w:t>
      </w:r>
      <w:r>
        <w:rPr>
          <w:rFonts w:hint="eastAsia" w:ascii="方正仿宋_GBK" w:hAnsi="方正仿宋_GBK" w:eastAsia="方正仿宋_GBK" w:cs="方正仿宋_GBK"/>
          <w:color w:val="000000"/>
          <w:sz w:val="28"/>
          <w:szCs w:val="28"/>
          <w:highlight w:val="none"/>
        </w:rPr>
        <w:t>申请并开具合法</w:t>
      </w:r>
      <w:r>
        <w:rPr>
          <w:rFonts w:hint="eastAsia" w:ascii="方正仿宋_GBK" w:hAnsi="方正仿宋_GBK" w:eastAsia="方正仿宋_GBK" w:cs="方正仿宋_GBK"/>
          <w:color w:val="000000"/>
          <w:sz w:val="28"/>
          <w:szCs w:val="28"/>
          <w:highlight w:val="none"/>
          <w:lang w:val="en-US" w:eastAsia="zh-CN"/>
        </w:rPr>
        <w:t>有效</w:t>
      </w:r>
      <w:r>
        <w:rPr>
          <w:rFonts w:hint="eastAsia" w:ascii="方正仿宋_GBK" w:hAnsi="方正仿宋_GBK" w:eastAsia="方正仿宋_GBK" w:cs="方正仿宋_GBK"/>
          <w:color w:val="000000"/>
          <w:sz w:val="28"/>
          <w:szCs w:val="28"/>
          <w:highlight w:val="none"/>
        </w:rPr>
        <w:t>发票，采购人向</w:t>
      </w:r>
      <w:r>
        <w:rPr>
          <w:rFonts w:hint="eastAsia" w:ascii="方正仿宋_GBK" w:hAnsi="方正仿宋_GBK" w:eastAsia="方正仿宋_GBK" w:cs="方正仿宋_GBK"/>
          <w:color w:val="000000"/>
          <w:sz w:val="28"/>
          <w:szCs w:val="28"/>
          <w:highlight w:val="none"/>
          <w:lang w:val="en-US" w:eastAsia="zh-CN"/>
        </w:rPr>
        <w:t>中选供应商</w:t>
      </w:r>
      <w:r>
        <w:rPr>
          <w:rFonts w:hint="eastAsia" w:ascii="方正仿宋_GBK" w:hAnsi="方正仿宋_GBK" w:eastAsia="方正仿宋_GBK" w:cs="方正仿宋_GBK"/>
          <w:color w:val="000000"/>
          <w:sz w:val="28"/>
          <w:szCs w:val="28"/>
          <w:highlight w:val="none"/>
        </w:rPr>
        <w:t>支付项目总费用的</w:t>
      </w:r>
      <w:r>
        <w:rPr>
          <w:rFonts w:hint="eastAsia" w:ascii="方正仿宋_GBK" w:hAnsi="方正仿宋_GBK" w:eastAsia="方正仿宋_GBK" w:cs="方正仿宋_GBK"/>
          <w:color w:val="000000"/>
          <w:sz w:val="28"/>
          <w:szCs w:val="28"/>
          <w:highlight w:val="none"/>
          <w:lang w:val="en-US" w:eastAsia="zh-CN"/>
        </w:rPr>
        <w:t>75</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en-US" w:eastAsia="zh-CN"/>
        </w:rPr>
        <w:t>作为预付款</w:t>
      </w:r>
      <w:r>
        <w:rPr>
          <w:rFonts w:hint="eastAsia" w:ascii="方正仿宋_GBK" w:hAnsi="方正仿宋_GBK" w:eastAsia="方正仿宋_GBK" w:cs="方正仿宋_GBK"/>
          <w:color w:val="000000"/>
          <w:sz w:val="28"/>
          <w:szCs w:val="28"/>
          <w:highlight w:val="none"/>
        </w:rPr>
        <w:t>；项目工作完成并通过采购人验收后，采购人向</w:t>
      </w:r>
      <w:r>
        <w:rPr>
          <w:rFonts w:hint="eastAsia" w:ascii="方正仿宋_GBK" w:hAnsi="方正仿宋_GBK" w:eastAsia="方正仿宋_GBK" w:cs="方正仿宋_GBK"/>
          <w:color w:val="000000"/>
          <w:sz w:val="28"/>
          <w:szCs w:val="28"/>
          <w:highlight w:val="none"/>
          <w:lang w:val="en-US" w:eastAsia="zh-CN"/>
        </w:rPr>
        <w:t>中选供应商</w:t>
      </w:r>
      <w:r>
        <w:rPr>
          <w:rFonts w:hint="eastAsia" w:ascii="方正仿宋_GBK" w:hAnsi="方正仿宋_GBK" w:eastAsia="方正仿宋_GBK" w:cs="方正仿宋_GBK"/>
          <w:color w:val="000000"/>
          <w:sz w:val="28"/>
          <w:szCs w:val="28"/>
          <w:highlight w:val="none"/>
        </w:rPr>
        <w:t>支付剩余</w:t>
      </w:r>
      <w:r>
        <w:rPr>
          <w:rFonts w:hint="eastAsia" w:ascii="方正仿宋_GBK" w:hAnsi="方正仿宋_GBK" w:eastAsia="方正仿宋_GBK" w:cs="方正仿宋_GBK"/>
          <w:color w:val="000000"/>
          <w:sz w:val="28"/>
          <w:szCs w:val="28"/>
          <w:highlight w:val="none"/>
          <w:lang w:val="en-US" w:eastAsia="zh-CN"/>
        </w:rPr>
        <w:t>25</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en-US" w:eastAsia="zh-CN"/>
        </w:rPr>
        <w:t>项目</w:t>
      </w:r>
      <w:r>
        <w:rPr>
          <w:rFonts w:hint="eastAsia" w:ascii="方正仿宋_GBK" w:hAnsi="方正仿宋_GBK" w:eastAsia="方正仿宋_GBK" w:cs="方正仿宋_GBK"/>
          <w:color w:val="000000"/>
          <w:sz w:val="28"/>
          <w:szCs w:val="28"/>
          <w:highlight w:val="none"/>
        </w:rPr>
        <w:t>款项。</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90" w:name="_Toc31515"/>
      <w:bookmarkStart w:id="91" w:name="_Toc15635"/>
      <w:bookmarkStart w:id="92" w:name="_Toc22647"/>
      <w:r>
        <w:rPr>
          <w:rFonts w:hint="eastAsia" w:ascii="方正仿宋_GBK" w:hAnsi="方正仿宋_GBK" w:eastAsia="方正仿宋_GBK" w:cs="方正仿宋_GBK"/>
          <w:sz w:val="28"/>
          <w:szCs w:val="28"/>
          <w:highlight w:val="none"/>
        </w:rPr>
        <w:t>五、知识产权</w:t>
      </w:r>
      <w:bookmarkEnd w:id="89"/>
      <w:bookmarkEnd w:id="90"/>
      <w:bookmarkEnd w:id="91"/>
      <w:bookmarkEnd w:id="92"/>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采购人在中华人民共和国境内使用供应商提供的货物及服务时免受第三方提出的侵犯其专利权或其它知识产权的起诉。如果第三方提出侵权指控，供应商应承担由此而引起的一切法律责任和费用。</w:t>
      </w:r>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93" w:name="_Toc11887"/>
      <w:bookmarkStart w:id="94" w:name="_Toc23677"/>
      <w:bookmarkStart w:id="95" w:name="_Toc22175"/>
      <w:r>
        <w:rPr>
          <w:rFonts w:hint="eastAsia" w:ascii="方正仿宋_GBK" w:hAnsi="方正仿宋_GBK" w:eastAsia="方正仿宋_GBK" w:cs="方正仿宋_GBK"/>
          <w:sz w:val="28"/>
          <w:szCs w:val="28"/>
          <w:highlight w:val="none"/>
        </w:rPr>
        <w:t>六、其他</w:t>
      </w:r>
      <w:bookmarkEnd w:id="93"/>
      <w:bookmarkEnd w:id="94"/>
      <w:bookmarkEnd w:id="95"/>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（一）参与竞谈供应商必须在响应文件中对以上条款和服务承诺明确列出，承诺内容必须达到本篇及采购文件其他条款的要求。</w:t>
      </w:r>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（二）其他未尽事宜由供需双方在采购合同中详细约定。</w:t>
      </w:r>
    </w:p>
    <w:p>
      <w:pPr>
        <w:adjustRightInd w:val="0"/>
        <w:spacing w:line="360" w:lineRule="exact"/>
        <w:ind w:firstLine="560" w:firstLineChars="200"/>
        <w:rPr>
          <w:rFonts w:hint="eastAsia" w:ascii="方正仿宋_GBK" w:hAnsi="方正仿宋_GBK" w:eastAsia="方正仿宋_GBK" w:cs="方正仿宋_GBK"/>
          <w:color w:val="000000"/>
          <w:sz w:val="28"/>
          <w:szCs w:val="28"/>
          <w:highlight w:val="none"/>
          <w:lang w:eastAsia="zh-CN"/>
        </w:rPr>
        <w:sectPr>
          <w:pgSz w:w="11907" w:h="16840"/>
          <w:pgMar w:top="1134" w:right="1191" w:bottom="1134" w:left="1304" w:header="964" w:footer="992" w:gutter="0"/>
          <w:cols w:space="720" w:num="1"/>
          <w:docGrid w:linePitch="312" w:charSpace="0"/>
        </w:sectPr>
      </w:pP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en-US" w:eastAsia="zh-CN"/>
        </w:rPr>
        <w:t>三</w:t>
      </w:r>
      <w:r>
        <w:rPr>
          <w:rFonts w:hint="eastAsia" w:ascii="方正仿宋_GBK" w:hAnsi="方正仿宋_GBK" w:eastAsia="方正仿宋_GBK" w:cs="方正仿宋_GBK"/>
          <w:color w:val="000000"/>
          <w:sz w:val="28"/>
          <w:szCs w:val="28"/>
          <w:highlight w:val="none"/>
        </w:rPr>
        <w:t>）若因供应商原因导致项目延期超30天，采购人有权</w:t>
      </w:r>
      <w:r>
        <w:rPr>
          <w:rFonts w:hint="eastAsia" w:ascii="方正仿宋_GBK" w:hAnsi="方正仿宋_GBK" w:eastAsia="方正仿宋_GBK" w:cs="方正仿宋_GBK"/>
          <w:color w:val="000000"/>
          <w:sz w:val="28"/>
          <w:szCs w:val="28"/>
          <w:highlight w:val="none"/>
          <w:lang w:val="en-US" w:eastAsia="zh-CN"/>
        </w:rPr>
        <w:t>单方</w:t>
      </w:r>
      <w:r>
        <w:rPr>
          <w:rFonts w:hint="eastAsia" w:ascii="方正仿宋_GBK" w:hAnsi="方正仿宋_GBK" w:eastAsia="方正仿宋_GBK" w:cs="方正仿宋_GBK"/>
          <w:color w:val="000000"/>
          <w:sz w:val="28"/>
          <w:szCs w:val="28"/>
          <w:highlight w:val="none"/>
        </w:rPr>
        <w:t>解除合同，并要求赔偿损失</w:t>
      </w:r>
      <w:r>
        <w:rPr>
          <w:rFonts w:hint="eastAsia" w:ascii="方正仿宋_GBK" w:hAnsi="方正仿宋_GBK" w:eastAsia="方正仿宋_GBK" w:cs="方正仿宋_GBK"/>
          <w:color w:val="000000"/>
          <w:sz w:val="28"/>
          <w:szCs w:val="28"/>
          <w:highlight w:val="none"/>
          <w:lang w:eastAsia="zh-CN"/>
        </w:rPr>
        <w:t>。</w:t>
      </w:r>
    </w:p>
    <w:p>
      <w:pPr>
        <w:pStyle w:val="4"/>
        <w:spacing w:before="0" w:after="0" w:line="360" w:lineRule="auto"/>
        <w:jc w:val="center"/>
        <w:rPr>
          <w:rFonts w:ascii="Times New Roman" w:hAnsi="Times New Roman" w:cs="Times New Roman"/>
          <w:b w:val="0"/>
          <w:szCs w:val="30"/>
          <w:highlight w:val="none"/>
        </w:rPr>
      </w:pPr>
      <w:bookmarkStart w:id="96" w:name="_Toc24195"/>
      <w:bookmarkStart w:id="97" w:name="_Toc4119"/>
      <w:bookmarkStart w:id="98" w:name="_Toc65660349"/>
      <w:bookmarkStart w:id="99" w:name="_Toc16123"/>
      <w:bookmarkStart w:id="100" w:name="_Toc31834"/>
      <w:r>
        <w:rPr>
          <w:rFonts w:ascii="Times New Roman" w:hAnsi="Times New Roman" w:cs="Times New Roman"/>
          <w:b w:val="0"/>
          <w:szCs w:val="30"/>
          <w:highlight w:val="none"/>
        </w:rPr>
        <w:t>第四篇  采购程序、评定成交的标准、无效谈判及采购终止</w:t>
      </w:r>
      <w:bookmarkEnd w:id="96"/>
      <w:bookmarkEnd w:id="97"/>
      <w:bookmarkEnd w:id="98"/>
      <w:bookmarkEnd w:id="99"/>
      <w:bookmarkEnd w:id="100"/>
    </w:p>
    <w:p>
      <w:pPr>
        <w:pStyle w:val="4"/>
        <w:adjustRightInd w:val="0"/>
        <w:snapToGrid w:val="0"/>
        <w:spacing w:before="0" w:after="0" w:line="360" w:lineRule="exact"/>
        <w:ind w:firstLine="562" w:firstLineChars="200"/>
        <w:rPr>
          <w:rFonts w:hint="eastAsia" w:ascii="方正仿宋_GBK" w:hAnsi="方正仿宋_GBK" w:eastAsia="方正仿宋_GBK" w:cs="方正仿宋_GBK"/>
          <w:sz w:val="28"/>
          <w:szCs w:val="28"/>
          <w:highlight w:val="none"/>
        </w:rPr>
      </w:pPr>
      <w:bookmarkStart w:id="101" w:name="_Toc9361"/>
      <w:bookmarkStart w:id="102" w:name="_Toc14036"/>
      <w:bookmarkStart w:id="103" w:name="_Toc5350"/>
      <w:bookmarkStart w:id="104" w:name="_Toc65660350"/>
      <w:bookmarkStart w:id="105" w:name="_Toc64732012"/>
      <w:bookmarkStart w:id="106" w:name="_Toc5167"/>
      <w:r>
        <w:rPr>
          <w:rFonts w:hint="eastAsia" w:ascii="方正仿宋_GBK" w:hAnsi="方正仿宋_GBK" w:eastAsia="方正仿宋_GBK" w:cs="方正仿宋_GBK"/>
          <w:sz w:val="28"/>
          <w:szCs w:val="28"/>
          <w:highlight w:val="none"/>
        </w:rPr>
        <w:t>一、采购程序</w:t>
      </w:r>
      <w:bookmarkEnd w:id="101"/>
      <w:bookmarkEnd w:id="102"/>
      <w:bookmarkEnd w:id="103"/>
      <w:bookmarkEnd w:id="104"/>
      <w:bookmarkEnd w:id="105"/>
      <w:bookmarkEnd w:id="106"/>
    </w:p>
    <w:p>
      <w:pPr>
        <w:pStyle w:val="1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（一）谈判按竞争性谈判文件规定的时间和地点进行。供应商须有法定代表人（或其授权代表）或自然人参加并签到。</w:t>
      </w:r>
    </w:p>
    <w:p>
      <w:pPr>
        <w:pStyle w:val="10"/>
        <w:spacing w:line="3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（二）项目谈判小组分别与各供应商进行谈判。在谈判前，对各供应商的资格条件、实质性响应等进行审查。 </w:t>
      </w:r>
    </w:p>
    <w:p>
      <w:pPr>
        <w:snapToGrid w:val="0"/>
        <w:spacing w:line="3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1.资格性审查。依据法律法规和竞争性谈判文件的规定，对响应文件中的资格证明材料、保证金等进行审查。资格性审查内容如下：</w:t>
      </w:r>
    </w:p>
    <w:tbl>
      <w:tblPr>
        <w:tblStyle w:val="17"/>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highlight w:val="none"/>
              </w:rPr>
            </w:pPr>
            <w:r>
              <w:rPr>
                <w:rFonts w:ascii="Times New Roman" w:hAnsi="Times New Roman" w:eastAsia="方正仿宋_GBK" w:cs="Times New Roman"/>
                <w:b/>
                <w:kern w:val="0"/>
                <w:sz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highlight w:val="none"/>
              </w:rPr>
            </w:pPr>
            <w:r>
              <w:rPr>
                <w:rFonts w:ascii="Times New Roman" w:hAnsi="Times New Roman" w:eastAsia="方正仿宋_GBK" w:cs="Times New Roman"/>
                <w:b/>
                <w:kern w:val="0"/>
                <w:sz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highlight w:val="none"/>
              </w:rPr>
            </w:pPr>
            <w:r>
              <w:rPr>
                <w:rFonts w:ascii="Times New Roman" w:hAnsi="Times New Roman" w:eastAsia="方正仿宋_GBK" w:cs="Times New Roman"/>
                <w:b/>
                <w:kern w:val="0"/>
                <w:sz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50" w:lineRule="exact"/>
              <w:jc w:val="cente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（一）</w:t>
            </w:r>
          </w:p>
        </w:tc>
        <w:tc>
          <w:tcPr>
            <w:tcW w:w="709" w:type="dxa"/>
            <w:vMerge w:val="restart"/>
            <w:vAlign w:val="center"/>
          </w:tcPr>
          <w:p>
            <w:pPr>
              <w:spacing w:line="350" w:lineRule="exact"/>
              <w:rPr>
                <w:rFonts w:hint="eastAsia" w:ascii="方正仿宋_GBK" w:hAnsi="方正仿宋_GBK" w:eastAsia="方正仿宋_GBK" w:cs="方正仿宋_GBK"/>
                <w:szCs w:val="21"/>
                <w:highlight w:val="none"/>
                <w:lang w:val="zh-CN"/>
              </w:rPr>
            </w:pPr>
            <w:r>
              <w:rPr>
                <w:rFonts w:hint="eastAsia" w:ascii="方正仿宋_GBK" w:hAnsi="方正仿宋_GBK" w:eastAsia="方正仿宋_GBK" w:cs="方正仿宋_GBK"/>
                <w:szCs w:val="21"/>
                <w:highlight w:val="none"/>
                <w:lang w:val="zh-CN"/>
              </w:rPr>
              <w:t>《中华人民共和国政府采购法》第二十二条规定</w:t>
            </w:r>
          </w:p>
        </w:tc>
        <w:tc>
          <w:tcPr>
            <w:tcW w:w="2835" w:type="dxa"/>
            <w:vAlign w:val="center"/>
          </w:tcPr>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1.具有独立承担民事责任的能力</w:t>
            </w:r>
          </w:p>
        </w:tc>
        <w:tc>
          <w:tcPr>
            <w:tcW w:w="5267" w:type="dxa"/>
            <w:vAlign w:val="center"/>
          </w:tcPr>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1.供应商法人营业执照（副本）或社会团体法人登记证书（副本）或民办非企业单位法人登记证书（副本）或事业单位法人证书（副本）或个体工商户营业执照或有效的自然人身份证明（提供复印件）；</w:t>
            </w:r>
          </w:p>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lang w:val="zh-CN"/>
              </w:rPr>
            </w:pPr>
          </w:p>
        </w:tc>
        <w:tc>
          <w:tcPr>
            <w:tcW w:w="2835" w:type="dxa"/>
            <w:vAlign w:val="center"/>
          </w:tcPr>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lang w:val="zh-CN"/>
              </w:rPr>
              <w:t>2.</w:t>
            </w:r>
            <w:r>
              <w:rPr>
                <w:rFonts w:hint="eastAsia" w:ascii="方正仿宋_GBK" w:hAnsi="方正仿宋_GBK" w:eastAsia="方正仿宋_GBK" w:cs="方正仿宋_GBK"/>
                <w:szCs w:val="21"/>
                <w:highlight w:val="none"/>
              </w:rPr>
              <w:t>具有良好的商业信誉和健全的财务会计制度</w:t>
            </w:r>
          </w:p>
        </w:tc>
        <w:tc>
          <w:tcPr>
            <w:tcW w:w="5267" w:type="dxa"/>
            <w:vMerge w:val="restart"/>
            <w:vAlign w:val="center"/>
          </w:tcPr>
          <w:p>
            <w:pPr>
              <w:spacing w:line="350" w:lineRule="exact"/>
              <w:rPr>
                <w:rFonts w:hint="eastAsia" w:ascii="方正仿宋_GBK" w:hAnsi="方正仿宋_GBK" w:eastAsia="方正仿宋_GBK" w:cs="方正仿宋_GBK"/>
                <w:b/>
                <w:szCs w:val="21"/>
                <w:highlight w:val="none"/>
              </w:rPr>
            </w:pPr>
            <w:r>
              <w:rPr>
                <w:rFonts w:hint="eastAsia" w:ascii="方正仿宋_GBK" w:hAnsi="方正仿宋_GBK" w:eastAsia="方正仿宋_GBK" w:cs="方正仿宋_GBK"/>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lang w:val="zh-CN"/>
              </w:rPr>
            </w:pPr>
          </w:p>
        </w:tc>
        <w:tc>
          <w:tcPr>
            <w:tcW w:w="2835" w:type="dxa"/>
            <w:vAlign w:val="center"/>
          </w:tcPr>
          <w:p>
            <w:pPr>
              <w:spacing w:line="350" w:lineRule="exact"/>
              <w:rPr>
                <w:rFonts w:hint="eastAsia" w:ascii="方正仿宋_GBK" w:hAnsi="方正仿宋_GBK" w:eastAsia="方正仿宋_GBK" w:cs="方正仿宋_GBK"/>
                <w:szCs w:val="21"/>
                <w:highlight w:val="none"/>
                <w:lang w:val="zh-CN"/>
              </w:rPr>
            </w:pPr>
            <w:r>
              <w:rPr>
                <w:rFonts w:hint="eastAsia" w:ascii="方正仿宋_GBK" w:hAnsi="方正仿宋_GBK" w:eastAsia="方正仿宋_GBK" w:cs="方正仿宋_GBK"/>
                <w:szCs w:val="21"/>
                <w:highlight w:val="none"/>
                <w:lang w:val="zh-CN"/>
              </w:rPr>
              <w:t>3.具有履行合同所必需的设备和专业技术能力</w:t>
            </w:r>
          </w:p>
        </w:tc>
        <w:tc>
          <w:tcPr>
            <w:tcW w:w="5267" w:type="dxa"/>
            <w:vMerge w:val="continue"/>
            <w:vAlign w:val="center"/>
          </w:tcPr>
          <w:p>
            <w:pPr>
              <w:spacing w:line="350" w:lineRule="exact"/>
              <w:rPr>
                <w:rFonts w:hint="eastAsia" w:ascii="方正仿宋_GBK" w:hAnsi="方正仿宋_GBK" w:eastAsia="方正仿宋_GBK" w:cs="方正仿宋_GBK"/>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lang w:val="zh-CN"/>
              </w:rPr>
            </w:pPr>
          </w:p>
        </w:tc>
        <w:tc>
          <w:tcPr>
            <w:tcW w:w="2835" w:type="dxa"/>
            <w:vAlign w:val="center"/>
          </w:tcPr>
          <w:p>
            <w:pPr>
              <w:spacing w:line="350" w:lineRule="exact"/>
              <w:rPr>
                <w:rFonts w:hint="eastAsia" w:ascii="方正仿宋_GBK" w:hAnsi="方正仿宋_GBK" w:eastAsia="方正仿宋_GBK" w:cs="方正仿宋_GBK"/>
                <w:szCs w:val="21"/>
                <w:highlight w:val="none"/>
                <w:lang w:val="zh-CN"/>
              </w:rPr>
            </w:pPr>
            <w:r>
              <w:rPr>
                <w:rFonts w:hint="eastAsia" w:ascii="方正仿宋_GBK" w:hAnsi="方正仿宋_GBK" w:eastAsia="方正仿宋_GBK" w:cs="方正仿宋_GBK"/>
                <w:szCs w:val="21"/>
                <w:highlight w:val="none"/>
                <w:lang w:val="zh-CN"/>
              </w:rPr>
              <w:t>4.有依法缴纳税收和社会保障金的良好记录</w:t>
            </w:r>
          </w:p>
        </w:tc>
        <w:tc>
          <w:tcPr>
            <w:tcW w:w="5267" w:type="dxa"/>
            <w:vMerge w:val="continue"/>
            <w:vAlign w:val="center"/>
          </w:tcPr>
          <w:p>
            <w:pPr>
              <w:spacing w:line="350" w:lineRule="exact"/>
              <w:rPr>
                <w:rFonts w:hint="eastAsia" w:ascii="方正仿宋_GBK" w:hAnsi="方正仿宋_GBK" w:eastAsia="方正仿宋_GBK" w:cs="方正仿宋_GBK"/>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lang w:val="zh-CN"/>
              </w:rPr>
            </w:pPr>
          </w:p>
        </w:tc>
        <w:tc>
          <w:tcPr>
            <w:tcW w:w="2835" w:type="dxa"/>
            <w:vAlign w:val="center"/>
          </w:tcPr>
          <w:p>
            <w:pPr>
              <w:spacing w:line="350" w:lineRule="exact"/>
              <w:rPr>
                <w:rFonts w:hint="eastAsia" w:ascii="方正仿宋_GBK" w:hAnsi="方正仿宋_GBK" w:eastAsia="方正仿宋_GBK" w:cs="方正仿宋_GBK"/>
                <w:szCs w:val="21"/>
                <w:highlight w:val="none"/>
                <w:lang w:val="zh-CN"/>
              </w:rPr>
            </w:pPr>
            <w:r>
              <w:rPr>
                <w:rFonts w:hint="eastAsia" w:ascii="方正仿宋_GBK" w:hAnsi="方正仿宋_GBK" w:eastAsia="方正仿宋_GBK" w:cs="方正仿宋_GBK"/>
                <w:szCs w:val="21"/>
                <w:highlight w:val="none"/>
              </w:rPr>
              <w:t>5.参加政府采购活动前三年内，在经营活动中没有重大违法记录（注①）</w:t>
            </w:r>
          </w:p>
        </w:tc>
        <w:tc>
          <w:tcPr>
            <w:tcW w:w="5267" w:type="dxa"/>
            <w:vAlign w:val="center"/>
          </w:tcPr>
          <w:p>
            <w:pPr>
              <w:spacing w:line="350" w:lineRule="exact"/>
              <w:rPr>
                <w:rFonts w:hint="eastAsia" w:ascii="方正仿宋_GBK" w:hAnsi="方正仿宋_GBK" w:eastAsia="方正仿宋_GBK" w:cs="方正仿宋_GBK"/>
                <w:b w:val="0"/>
                <w:bCs/>
                <w:szCs w:val="21"/>
                <w:highlight w:val="none"/>
              </w:rPr>
            </w:pPr>
            <w:r>
              <w:rPr>
                <w:rFonts w:hint="eastAsia" w:ascii="方正仿宋_GBK" w:hAnsi="方正仿宋_GBK" w:eastAsia="方正仿宋_GBK" w:cs="方正仿宋_GBK"/>
                <w:b w:val="0"/>
                <w:bCs/>
                <w:szCs w:val="21"/>
                <w:highlight w:val="none"/>
              </w:rPr>
              <w:t>1.提供《基本资格条件承诺函》（</w:t>
            </w:r>
            <w:r>
              <w:rPr>
                <w:rFonts w:hint="eastAsia" w:ascii="方正仿宋_GBK" w:hAnsi="方正仿宋_GBK" w:eastAsia="方正仿宋_GBK" w:cs="方正仿宋_GBK"/>
                <w:szCs w:val="21"/>
                <w:highlight w:val="none"/>
              </w:rPr>
              <w:t>格式详见第七篇</w:t>
            </w:r>
            <w:r>
              <w:rPr>
                <w:rFonts w:hint="eastAsia" w:ascii="方正仿宋_GBK" w:hAnsi="方正仿宋_GBK" w:eastAsia="方正仿宋_GBK" w:cs="方正仿宋_GBK"/>
                <w:b w:val="0"/>
                <w:bCs/>
                <w:szCs w:val="21"/>
                <w:highlight w:val="none"/>
              </w:rPr>
              <w:t>）；</w:t>
            </w:r>
          </w:p>
          <w:p>
            <w:pPr>
              <w:spacing w:line="350" w:lineRule="exact"/>
              <w:rPr>
                <w:rFonts w:hint="eastAsia" w:ascii="方正仿宋_GBK" w:hAnsi="方正仿宋_GBK" w:eastAsia="方正仿宋_GBK" w:cs="方正仿宋_GBK"/>
                <w:b w:val="0"/>
                <w:bCs/>
                <w:szCs w:val="21"/>
                <w:highlight w:val="none"/>
              </w:rPr>
            </w:pPr>
            <w:r>
              <w:rPr>
                <w:rFonts w:hint="eastAsia" w:ascii="方正仿宋_GBK" w:hAnsi="方正仿宋_GBK" w:eastAsia="方正仿宋_GBK" w:cs="方正仿宋_GBK"/>
                <w:b w:val="0"/>
                <w:bCs/>
                <w:szCs w:val="21"/>
                <w:highlight w:val="none"/>
              </w:rPr>
              <w:t>2.采购人将通过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pacing w:line="350" w:lineRule="exact"/>
              <w:jc w:val="center"/>
              <w:rPr>
                <w:rFonts w:hint="eastAsia" w:ascii="方正仿宋_GBK" w:hAnsi="方正仿宋_GBK" w:eastAsia="方正仿宋_GBK" w:cs="方正仿宋_GBK"/>
                <w:szCs w:val="21"/>
                <w:highlight w:val="none"/>
              </w:rPr>
            </w:pPr>
          </w:p>
        </w:tc>
        <w:tc>
          <w:tcPr>
            <w:tcW w:w="709" w:type="dxa"/>
            <w:vMerge w:val="continue"/>
            <w:vAlign w:val="center"/>
          </w:tcPr>
          <w:p>
            <w:pPr>
              <w:spacing w:line="350" w:lineRule="exact"/>
              <w:rPr>
                <w:rFonts w:hint="eastAsia" w:ascii="方正仿宋_GBK" w:hAnsi="方正仿宋_GBK" w:eastAsia="方正仿宋_GBK" w:cs="方正仿宋_GBK"/>
                <w:szCs w:val="21"/>
                <w:highlight w:val="none"/>
              </w:rPr>
            </w:pPr>
          </w:p>
        </w:tc>
        <w:tc>
          <w:tcPr>
            <w:tcW w:w="2835" w:type="dxa"/>
            <w:vAlign w:val="center"/>
          </w:tcPr>
          <w:p>
            <w:pPr>
              <w:spacing w:line="35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6.法律、行政法规规定的其他条件</w:t>
            </w:r>
          </w:p>
        </w:tc>
        <w:tc>
          <w:tcPr>
            <w:tcW w:w="5267" w:type="dxa"/>
            <w:vAlign w:val="center"/>
          </w:tcPr>
          <w:p>
            <w:pPr>
              <w:spacing w:line="350" w:lineRule="exact"/>
              <w:rPr>
                <w:rFonts w:hint="eastAsia" w:ascii="方正仿宋_GBK" w:hAnsi="方正仿宋_GBK" w:eastAsia="方正仿宋_GBK" w:cs="方正仿宋_GBK"/>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40" w:lineRule="auto"/>
              <w:ind w:left="0" w:leftChars="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（二）</w:t>
            </w:r>
          </w:p>
        </w:tc>
        <w:tc>
          <w:tcPr>
            <w:tcW w:w="3544" w:type="dxa"/>
            <w:gridSpan w:val="2"/>
            <w:vAlign w:val="center"/>
          </w:tcPr>
          <w:p>
            <w:pPr>
              <w:spacing w:line="240" w:lineRule="auto"/>
              <w:ind w:left="0" w:leftChars="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本项目的特定资格条件</w:t>
            </w:r>
          </w:p>
        </w:tc>
        <w:tc>
          <w:tcPr>
            <w:tcW w:w="5267" w:type="dxa"/>
            <w:vAlign w:val="center"/>
          </w:tcPr>
          <w:p>
            <w:pPr>
              <w:spacing w:line="240" w:lineRule="auto"/>
              <w:ind w:left="0" w:leftChars="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按第一篇“三、供应商资格条件（二）本项目的特定资格条件”的要求提交（如果有）。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40" w:lineRule="auto"/>
              <w:ind w:left="0" w:leftChars="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（三）</w:t>
            </w:r>
          </w:p>
        </w:tc>
        <w:tc>
          <w:tcPr>
            <w:tcW w:w="3544" w:type="dxa"/>
            <w:gridSpan w:val="2"/>
            <w:vAlign w:val="center"/>
          </w:tcPr>
          <w:p>
            <w:pPr>
              <w:spacing w:line="240" w:lineRule="auto"/>
              <w:ind w:left="0" w:leftChars="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落实政府采购政策需满足的资格要求</w:t>
            </w:r>
          </w:p>
        </w:tc>
        <w:tc>
          <w:tcPr>
            <w:tcW w:w="5267" w:type="dxa"/>
            <w:vAlign w:val="center"/>
          </w:tcPr>
          <w:p>
            <w:pPr>
              <w:spacing w:line="240" w:lineRule="auto"/>
              <w:ind w:left="0" w:leftChars="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按第一篇“三、供应商资格条件（三）落实政府采购政策需满足的资格要求”的要求提交（如果有）。</w:t>
            </w:r>
          </w:p>
        </w:tc>
      </w:tr>
    </w:tbl>
    <w:p>
      <w:pPr>
        <w:snapToGrid w:val="0"/>
        <w:spacing w:line="3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3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17"/>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Times New Roman" w:hAnsi="Times New Roman" w:eastAsia="方正仿宋_GBK" w:cs="Times New Roman"/>
                <w:b/>
                <w:kern w:val="0"/>
                <w:szCs w:val="21"/>
                <w:highlight w:val="none"/>
              </w:rPr>
            </w:pPr>
            <w:r>
              <w:rPr>
                <w:rFonts w:ascii="Times New Roman" w:hAnsi="Times New Roman" w:eastAsia="方正仿宋_GBK" w:cs="Times New Roman"/>
                <w:b/>
                <w:kern w:val="0"/>
                <w:szCs w:val="21"/>
                <w:highlight w:val="none"/>
              </w:rPr>
              <w:t>序号</w:t>
            </w:r>
          </w:p>
        </w:tc>
        <w:tc>
          <w:tcPr>
            <w:tcW w:w="2694" w:type="dxa"/>
            <w:vAlign w:val="center"/>
          </w:tcPr>
          <w:p>
            <w:pPr>
              <w:jc w:val="center"/>
              <w:rPr>
                <w:rFonts w:ascii="Times New Roman" w:hAnsi="Times New Roman" w:eastAsia="方正仿宋_GBK" w:cs="Times New Roman"/>
                <w:b/>
                <w:kern w:val="0"/>
                <w:szCs w:val="21"/>
                <w:highlight w:val="none"/>
              </w:rPr>
            </w:pPr>
            <w:r>
              <w:rPr>
                <w:rFonts w:ascii="Times New Roman" w:hAnsi="Times New Roman" w:eastAsia="方正仿宋_GBK" w:cs="Times New Roman"/>
                <w:b/>
                <w:kern w:val="0"/>
                <w:szCs w:val="21"/>
                <w:highlight w:val="none"/>
              </w:rPr>
              <w:t>审查因素</w:t>
            </w:r>
          </w:p>
        </w:tc>
        <w:tc>
          <w:tcPr>
            <w:tcW w:w="6259" w:type="dxa"/>
            <w:vAlign w:val="center"/>
          </w:tcPr>
          <w:p>
            <w:pPr>
              <w:jc w:val="center"/>
              <w:rPr>
                <w:rFonts w:ascii="Times New Roman" w:hAnsi="Times New Roman" w:eastAsia="方正仿宋_GBK" w:cs="Times New Roman"/>
                <w:b/>
                <w:kern w:val="0"/>
                <w:szCs w:val="21"/>
                <w:highlight w:val="none"/>
              </w:rPr>
            </w:pPr>
            <w:r>
              <w:rPr>
                <w:rFonts w:ascii="Times New Roman" w:hAnsi="Times New Roman" w:eastAsia="方正仿宋_GBK" w:cs="Times New Roman"/>
                <w:b/>
                <w:kern w:val="0"/>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1</w:t>
            </w:r>
          </w:p>
        </w:tc>
        <w:tc>
          <w:tcPr>
            <w:tcW w:w="2694"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响应文件签署或盖章</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Times New Roman" w:hAnsi="Times New Roman" w:eastAsia="方正仿宋_GBK" w:cs="Times New Roman"/>
                <w:kern w:val="0"/>
                <w:szCs w:val="21"/>
                <w:highlight w:val="none"/>
              </w:rPr>
            </w:pPr>
          </w:p>
        </w:tc>
        <w:tc>
          <w:tcPr>
            <w:tcW w:w="2694" w:type="dxa"/>
            <w:vAlign w:val="center"/>
          </w:tcPr>
          <w:p>
            <w:pP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法定代表人身份证明及授权委托书</w:t>
            </w:r>
          </w:p>
        </w:tc>
        <w:tc>
          <w:tcPr>
            <w:tcW w:w="6259" w:type="dxa"/>
            <w:vAlign w:val="center"/>
          </w:tcPr>
          <w:p>
            <w:pPr>
              <w:rPr>
                <w:rFonts w:ascii="Times New Roman" w:hAnsi="Times New Roman" w:eastAsia="方正仿宋_GBK" w:cs="Times New Roman"/>
                <w:szCs w:val="21"/>
                <w:highlight w:val="none"/>
              </w:rPr>
            </w:pPr>
            <w:r>
              <w:rPr>
                <w:rFonts w:ascii="Times New Roman" w:hAnsi="Times New Roman" w:eastAsia="方正仿宋_GBK" w:cs="Times New Roman"/>
                <w:szCs w:val="21"/>
                <w:highlight w:val="none"/>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Times New Roman" w:hAnsi="Times New Roman" w:eastAsia="方正仿宋_GBK" w:cs="Times New Roman"/>
                <w:kern w:val="0"/>
                <w:szCs w:val="21"/>
                <w:highlight w:val="none"/>
              </w:rPr>
            </w:pPr>
          </w:p>
        </w:tc>
        <w:tc>
          <w:tcPr>
            <w:tcW w:w="2694" w:type="dxa"/>
            <w:vAlign w:val="center"/>
          </w:tcPr>
          <w:p>
            <w:pPr>
              <w:rPr>
                <w:rFonts w:ascii="Times New Roman" w:hAnsi="Times New Roman" w:eastAsia="方正仿宋_GBK" w:cs="Times New Roman"/>
                <w:szCs w:val="21"/>
                <w:highlight w:val="none"/>
                <w:lang w:val="zh-CN"/>
              </w:rPr>
            </w:pPr>
            <w:r>
              <w:rPr>
                <w:rFonts w:ascii="Times New Roman" w:hAnsi="Times New Roman" w:eastAsia="方正仿宋_GBK" w:cs="Times New Roman"/>
                <w:szCs w:val="21"/>
                <w:highlight w:val="none"/>
              </w:rPr>
              <w:t>响应</w:t>
            </w:r>
            <w:r>
              <w:rPr>
                <w:rFonts w:ascii="Times New Roman" w:hAnsi="Times New Roman" w:eastAsia="方正仿宋_GBK" w:cs="Times New Roman"/>
                <w:szCs w:val="21"/>
                <w:highlight w:val="none"/>
                <w:lang w:val="zh-CN"/>
              </w:rPr>
              <w:t>方案</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lang w:val="zh-CN"/>
              </w:rPr>
              <w:t>只能有一个</w:t>
            </w:r>
            <w:r>
              <w:rPr>
                <w:rFonts w:ascii="Times New Roman" w:hAnsi="Times New Roman" w:eastAsia="方正仿宋_GBK" w:cs="Times New Roman"/>
                <w:szCs w:val="21"/>
                <w:highlight w:val="none"/>
              </w:rPr>
              <w:t>响应</w:t>
            </w:r>
            <w:r>
              <w:rPr>
                <w:rFonts w:ascii="Times New Roman" w:hAnsi="Times New Roman" w:eastAsia="方正仿宋_GBK" w:cs="Times New Roman"/>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pPr>
              <w:jc w:val="center"/>
              <w:rPr>
                <w:rFonts w:ascii="Times New Roman" w:hAnsi="Times New Roman" w:eastAsia="方正仿宋_GBK" w:cs="Times New Roman"/>
                <w:kern w:val="0"/>
                <w:szCs w:val="21"/>
                <w:highlight w:val="none"/>
              </w:rPr>
            </w:pPr>
          </w:p>
        </w:tc>
        <w:tc>
          <w:tcPr>
            <w:tcW w:w="2694" w:type="dxa"/>
            <w:vAlign w:val="center"/>
          </w:tcPr>
          <w:p>
            <w:pPr>
              <w:rPr>
                <w:rFonts w:ascii="Times New Roman" w:hAnsi="Times New Roman" w:eastAsia="方正仿宋_GBK" w:cs="Times New Roman"/>
                <w:szCs w:val="21"/>
                <w:highlight w:val="none"/>
                <w:lang w:val="zh-CN"/>
              </w:rPr>
            </w:pPr>
            <w:r>
              <w:rPr>
                <w:rFonts w:ascii="Times New Roman" w:hAnsi="Times New Roman" w:eastAsia="方正仿宋_GBK" w:cs="Times New Roman"/>
                <w:szCs w:val="21"/>
                <w:highlight w:val="none"/>
              </w:rPr>
              <w:t>报价唯一</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jc w:val="cente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2</w:t>
            </w:r>
          </w:p>
        </w:tc>
        <w:tc>
          <w:tcPr>
            <w:tcW w:w="2694"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响应</w:t>
            </w:r>
            <w:r>
              <w:rPr>
                <w:rFonts w:ascii="Times New Roman" w:hAnsi="Times New Roman" w:eastAsia="方正仿宋_GBK" w:cs="Times New Roman"/>
                <w:szCs w:val="21"/>
                <w:highlight w:val="none"/>
                <w:lang w:val="zh-CN"/>
              </w:rPr>
              <w:t>文件份数</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szCs w:val="21"/>
                <w:highlight w:val="none"/>
              </w:rPr>
              <w:t>响应</w:t>
            </w:r>
            <w:r>
              <w:rPr>
                <w:rFonts w:ascii="Times New Roman" w:hAnsi="Times New Roman" w:eastAsia="方正仿宋_GBK" w:cs="Times New Roman"/>
                <w:szCs w:val="21"/>
                <w:highlight w:val="none"/>
                <w:lang w:val="zh-CN"/>
              </w:rPr>
              <w:t>文件正、副本数量（含电子文档）符合</w:t>
            </w:r>
            <w:r>
              <w:rPr>
                <w:rFonts w:ascii="Times New Roman" w:hAnsi="Times New Roman" w:eastAsia="方正仿宋_GBK" w:cs="Times New Roman"/>
                <w:szCs w:val="21"/>
                <w:highlight w:val="none"/>
              </w:rPr>
              <w:t>竞争性谈判</w:t>
            </w:r>
            <w:r>
              <w:rPr>
                <w:rFonts w:ascii="Times New Roman" w:hAnsi="Times New Roman" w:eastAsia="方正仿宋_GBK" w:cs="Times New Roman"/>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3</w:t>
            </w:r>
          </w:p>
        </w:tc>
        <w:tc>
          <w:tcPr>
            <w:tcW w:w="2694"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响应文件内容</w:t>
            </w:r>
          </w:p>
        </w:tc>
        <w:tc>
          <w:tcPr>
            <w:tcW w:w="6259" w:type="dxa"/>
            <w:vAlign w:val="center"/>
          </w:tcPr>
          <w:p>
            <w:pPr>
              <w:pStyle w:val="9"/>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jc w:val="center"/>
              <w:rPr>
                <w:rFonts w:ascii="Times New Roman" w:hAnsi="Times New Roman" w:eastAsia="方正仿宋_GBK" w:cs="Times New Roman"/>
                <w:kern w:val="0"/>
                <w:szCs w:val="21"/>
                <w:highlight w:val="none"/>
              </w:rPr>
            </w:pPr>
          </w:p>
        </w:tc>
        <w:tc>
          <w:tcPr>
            <w:tcW w:w="2694"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谈判有效期</w:t>
            </w:r>
          </w:p>
        </w:tc>
        <w:tc>
          <w:tcPr>
            <w:tcW w:w="6259" w:type="dxa"/>
            <w:vAlign w:val="center"/>
          </w:tcPr>
          <w:p>
            <w:pPr>
              <w:rPr>
                <w:rFonts w:ascii="Times New Roman" w:hAnsi="Times New Roman" w:eastAsia="方正仿宋_GBK" w:cs="Times New Roman"/>
                <w:kern w:val="0"/>
                <w:szCs w:val="21"/>
                <w:highlight w:val="none"/>
              </w:rPr>
            </w:pPr>
            <w:r>
              <w:rPr>
                <w:rFonts w:ascii="Times New Roman" w:hAnsi="Times New Roman" w:eastAsia="方正仿宋_GBK" w:cs="Times New Roman"/>
                <w:kern w:val="0"/>
                <w:szCs w:val="21"/>
                <w:highlight w:val="none"/>
              </w:rPr>
              <w:t>响应文件及有关承诺文件有效期为提交响应文件截止时间起90天。</w:t>
            </w:r>
          </w:p>
        </w:tc>
      </w:tr>
    </w:tbl>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（四）在谈判过程中谈判的任何一方不得向他人透露与谈判有关的技术资料、价格或其他信息。</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（六）供应商在谈判时作出的所有书面承诺须由法定代表人（或其授权代表）或自然人（供应商为自然人）签署。</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（八）评审的依据为竞争性谈判文件和响应文件（含有效的补充文件）。谈判小组判断响应文件对竞争性谈判文件的响应，仅基于响应文件本身而不靠外部证据。</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07" w:name="_Toc19339"/>
      <w:bookmarkStart w:id="108" w:name="_Toc25504"/>
      <w:bookmarkStart w:id="109" w:name="_Toc11713"/>
      <w:bookmarkStart w:id="110" w:name="_Toc64732013"/>
      <w:bookmarkStart w:id="111" w:name="_Toc65660351"/>
      <w:bookmarkStart w:id="112" w:name="_Toc30639"/>
      <w:r>
        <w:rPr>
          <w:rFonts w:hint="eastAsia" w:ascii="方正仿宋_GBK" w:hAnsi="方正仿宋_GBK" w:eastAsia="方正仿宋_GBK" w:cs="方正仿宋_GBK"/>
          <w:sz w:val="28"/>
          <w:szCs w:val="28"/>
          <w:highlight w:val="none"/>
        </w:rPr>
        <w:t>二、评定成交的标准</w:t>
      </w:r>
      <w:bookmarkEnd w:id="107"/>
      <w:bookmarkEnd w:id="108"/>
      <w:bookmarkEnd w:id="109"/>
      <w:bookmarkEnd w:id="110"/>
      <w:bookmarkEnd w:id="111"/>
      <w:bookmarkEnd w:id="112"/>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（一）谈判小组将依照本竞争性谈判文件相关规定对技术（质量）和服务均能满足竞争性谈判实质性响应要求的供应商所提交的最后报价，按照由低到高的顺序提出3名以上成交候选人。</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（二）若供应商的最后报价相同，按技术（质量）的优劣顺序排列；以上都相同的，按服务条款的优劣顺序排列。</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（三）成交价格=成交供应商的最后报价。</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13" w:name="_Toc29113"/>
      <w:bookmarkStart w:id="114" w:name="_Toc12644"/>
      <w:bookmarkStart w:id="115" w:name="_Toc27361"/>
      <w:bookmarkStart w:id="116" w:name="_Toc11440"/>
      <w:bookmarkStart w:id="117" w:name="_Toc65660352"/>
      <w:r>
        <w:rPr>
          <w:rFonts w:hint="eastAsia" w:ascii="方正仿宋_GBK" w:hAnsi="方正仿宋_GBK" w:eastAsia="方正仿宋_GBK" w:cs="方正仿宋_GBK"/>
          <w:sz w:val="28"/>
          <w:szCs w:val="28"/>
          <w:highlight w:val="none"/>
        </w:rPr>
        <w:t>三、无效谈判</w:t>
      </w:r>
      <w:bookmarkEnd w:id="113"/>
      <w:bookmarkEnd w:id="114"/>
      <w:bookmarkEnd w:id="115"/>
      <w:bookmarkEnd w:id="116"/>
      <w:bookmarkEnd w:id="117"/>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供应商发生以下条款情况之一者，视为无效谈判：</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（一）供应商不符合规定的资格条件的；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（二）供应商未通过实质性响应审查的；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（三）供应商的法定代表人（或其授权代表）或自然人未参加谈判的；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（四）供应商未在保证金到账截止时间前足额交纳所参与包保证金的；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（五）供应商所提交的响应文件未按“第七篇响应文件格式要求”要求签署或盖章的；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（六）供应商的最后报价超过采购预算或最高限价的；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（七）供应商不接受谈判小组修正后的价格的；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（八）单位负责人为同一人或者存在直接控股、管理关系的不同供应商，参加同一合同项（包）谈判的；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（九）为采购项目提供整体设计、规范编制或者项目管理、监理、检测等服务的供应商再参加该采购项目的其他采购活动的；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（十）同一合同项（包）下的货物，制造商参与谈判，再委托代理商参与谈判的；</w:t>
      </w:r>
    </w:p>
    <w:p>
      <w:pPr>
        <w:pStyle w:val="1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（十一）供应商响应文件内容有与国家现行法律法规相违背的内容，或附有采购人无法接受条件的；</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（十二）法律、法规和竞争性谈判文件规定的其他无效情形。</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18" w:name="_Toc65660353"/>
      <w:bookmarkStart w:id="119" w:name="_Toc6693"/>
      <w:bookmarkStart w:id="120" w:name="_Toc10289"/>
      <w:bookmarkStart w:id="121" w:name="_Toc29298"/>
      <w:bookmarkStart w:id="122" w:name="_Toc28422"/>
      <w:r>
        <w:rPr>
          <w:rFonts w:hint="eastAsia" w:ascii="方正仿宋_GBK" w:hAnsi="方正仿宋_GBK" w:eastAsia="方正仿宋_GBK" w:cs="方正仿宋_GBK"/>
          <w:sz w:val="28"/>
          <w:szCs w:val="28"/>
          <w:highlight w:val="none"/>
        </w:rPr>
        <w:t>四、采购终止</w:t>
      </w:r>
      <w:bookmarkEnd w:id="118"/>
      <w:bookmarkEnd w:id="119"/>
      <w:bookmarkEnd w:id="120"/>
      <w:bookmarkEnd w:id="121"/>
      <w:bookmarkEnd w:id="122"/>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出现下列情形之一的，采购人应当终止竞争性谈判采购活动，发布项目终止公告并说明原因，重新开展采购活动：</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（一）因情况变化，不再符合规定的竞争性谈判采购方式适用情形的；</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（二）出现影响采购公正的违法、违规行为的；</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（三）在采购过程中符合竞争要求的供应商或者报价未超过采购预算的供应商不足3家的。</w:t>
      </w:r>
    </w:p>
    <w:p>
      <w:pPr>
        <w:pStyle w:val="4"/>
        <w:spacing w:before="0" w:after="0" w:line="360" w:lineRule="auto"/>
        <w:jc w:val="center"/>
        <w:rPr>
          <w:rFonts w:ascii="Times New Roman" w:hAnsi="Times New Roman" w:cs="Times New Roman"/>
          <w:b w:val="0"/>
          <w:szCs w:val="30"/>
          <w:highlight w:val="none"/>
        </w:rPr>
      </w:pPr>
      <w:r>
        <w:rPr>
          <w:rFonts w:ascii="Times New Roman" w:hAnsi="Times New Roman" w:eastAsia="方正仿宋_GBK" w:cs="Times New Roman"/>
          <w:sz w:val="24"/>
          <w:highlight w:val="none"/>
        </w:rPr>
        <w:br w:type="page"/>
      </w:r>
      <w:bookmarkStart w:id="123" w:name="_Toc10768"/>
      <w:bookmarkStart w:id="124" w:name="_Toc65660354"/>
      <w:bookmarkStart w:id="125" w:name="_Toc3665"/>
      <w:bookmarkStart w:id="126" w:name="_Toc13169"/>
      <w:bookmarkStart w:id="127" w:name="_Toc20055"/>
      <w:r>
        <w:rPr>
          <w:rFonts w:ascii="Times New Roman" w:hAnsi="Times New Roman" w:cs="Times New Roman"/>
          <w:b w:val="0"/>
          <w:szCs w:val="30"/>
          <w:highlight w:val="none"/>
        </w:rPr>
        <w:t>第五篇  供应商须知</w:t>
      </w:r>
      <w:bookmarkEnd w:id="123"/>
      <w:bookmarkEnd w:id="124"/>
      <w:bookmarkEnd w:id="125"/>
      <w:bookmarkEnd w:id="126"/>
      <w:bookmarkEnd w:id="127"/>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28" w:name="_Toc16524"/>
      <w:bookmarkStart w:id="129" w:name="_Toc5290"/>
      <w:bookmarkStart w:id="130" w:name="_Toc29110"/>
      <w:bookmarkStart w:id="131" w:name="_Toc65660355"/>
      <w:bookmarkStart w:id="132" w:name="_Toc20404"/>
      <w:r>
        <w:rPr>
          <w:rFonts w:hint="eastAsia" w:ascii="方正仿宋_GBK" w:hAnsi="方正仿宋_GBK" w:eastAsia="方正仿宋_GBK" w:cs="方正仿宋_GBK"/>
          <w:sz w:val="28"/>
          <w:szCs w:val="28"/>
          <w:highlight w:val="none"/>
        </w:rPr>
        <w:t>一、谈判费用</w:t>
      </w:r>
      <w:bookmarkEnd w:id="128"/>
      <w:bookmarkEnd w:id="129"/>
      <w:bookmarkEnd w:id="130"/>
      <w:bookmarkEnd w:id="131"/>
      <w:bookmarkEnd w:id="132"/>
    </w:p>
    <w:p>
      <w:pPr>
        <w:pStyle w:val="22"/>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参与谈判的供应商应承担其编制响应文件与递交响应文件所涉及的一切费用，不论谈判结果如何，采购人在任何情况下无义务也无责任承担这些费用。</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33" w:name="_Toc5915"/>
      <w:bookmarkStart w:id="134" w:name="_Toc26411"/>
      <w:bookmarkStart w:id="135" w:name="_Toc31739"/>
      <w:bookmarkStart w:id="136" w:name="_Toc27176"/>
      <w:bookmarkStart w:id="137" w:name="_Toc65660356"/>
      <w:r>
        <w:rPr>
          <w:rFonts w:hint="eastAsia" w:ascii="方正仿宋_GBK" w:hAnsi="方正仿宋_GBK" w:eastAsia="方正仿宋_GBK" w:cs="方正仿宋_GBK"/>
          <w:sz w:val="28"/>
          <w:szCs w:val="28"/>
          <w:highlight w:val="none"/>
        </w:rPr>
        <w:t>二、竞争性谈判文件</w:t>
      </w:r>
      <w:bookmarkEnd w:id="133"/>
      <w:bookmarkEnd w:id="134"/>
      <w:bookmarkEnd w:id="135"/>
      <w:bookmarkEnd w:id="136"/>
      <w:bookmarkEnd w:id="137"/>
      <w:r>
        <w:rPr>
          <w:rFonts w:hint="eastAsia" w:ascii="方正仿宋_GBK" w:hAnsi="方正仿宋_GBK" w:eastAsia="方正仿宋_GBK" w:cs="方正仿宋_GBK"/>
          <w:sz w:val="28"/>
          <w:szCs w:val="28"/>
          <w:highlight w:val="none"/>
        </w:rPr>
        <w:tab/>
      </w:r>
    </w:p>
    <w:p>
      <w:pPr>
        <w:snapToGrid w:val="0"/>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（一）竞争性谈判文件由竞争性谈判邀请书、谈判项目技术（质量）需求、谈判项目服务需求、采购程序、评定成交的标准、无效谈判及采购终止、供应商须知、合同草案条款、响应文件格式要求七部分组成。</w:t>
      </w:r>
    </w:p>
    <w:p>
      <w:pPr>
        <w:snapToGrid w:val="0"/>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（二）采购人所作的一切有效的书面通知、修改及补充，都是竞争性谈判文件不可分割的部分。</w:t>
      </w:r>
    </w:p>
    <w:p>
      <w:pPr>
        <w:snapToGrid w:val="0"/>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（三）本竞争性谈判文件中，谈判小组根据与供应商谈判情况可能实质性变动的内容为竞争性谈判文件第二、三、六篇全部内容。</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38" w:name="_Toc65660357"/>
      <w:bookmarkStart w:id="139" w:name="_Toc5637"/>
      <w:bookmarkStart w:id="140" w:name="_Toc9532"/>
      <w:bookmarkStart w:id="141" w:name="_Toc3061"/>
      <w:bookmarkStart w:id="142" w:name="_Toc17677"/>
      <w:r>
        <w:rPr>
          <w:rFonts w:hint="eastAsia" w:ascii="方正仿宋_GBK" w:hAnsi="方正仿宋_GBK" w:eastAsia="方正仿宋_GBK" w:cs="方正仿宋_GBK"/>
          <w:sz w:val="28"/>
          <w:szCs w:val="28"/>
          <w:highlight w:val="none"/>
        </w:rPr>
        <w:t>三、谈判要求</w:t>
      </w:r>
      <w:bookmarkEnd w:id="138"/>
      <w:bookmarkEnd w:id="139"/>
      <w:bookmarkEnd w:id="140"/>
      <w:bookmarkEnd w:id="141"/>
      <w:bookmarkEnd w:id="142"/>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（一）响应文件</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供应商应当按照竞争性谈判文件的要求编制响应文件，并对竞争性谈判文件提出的要求和条件作出实质性响应，响应文件正本加盖骑缝章，原则上采用软面订本，同时应编制完整的页码、目录。</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1.响应文件组成</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2.谈判有效期：响应文件及有关承诺文件有效期为提交响应文件截止时间起90天。</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（二）修正错误</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若供应商所递交的响应文件或最后报价中的价格出现大写金额和小写金额不一致的错误，以大写金额修正为准。</w:t>
      </w:r>
    </w:p>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谈判小组按上述修正错误的原则及方法修正供应商的报价，供应商同意并签署确认后，修正后的报价对供应商具有约束作用。如果供应商不接受修正后的价格，将视为无效谈判。</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（三）提交响应文件的份数和签署</w:t>
      </w:r>
    </w:p>
    <w:p>
      <w:pPr>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rPr>
        <w:t>响应文件一式</w:t>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rPr>
        <w:t>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2.在响应文件正本中，竞争性谈判文件第七篇响应文件格式中规定签署、盖章的地方必须按其规定签署、盖章。</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3.若供应商对响应文件的错处作必要修改，则应在修改处加盖供应商公章或由法定代表人（或其授权代表）或自然人（供应商为自然人）签署确认。</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4.电报、电话、传真形式的响应文件概不接受。</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（四）响应文件的递交</w:t>
      </w:r>
    </w:p>
    <w:p>
      <w:pPr>
        <w:pStyle w:val="8"/>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响应文件的正本、副本均应密封送达谈判地点，应在封套上注明谈判项目名称、供应商名称。若正本、副本分别进行密封的，还应在封套上注明“正本”、“副本”字样。</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（五）响应文件语言：简体中文，字体全部采用宋体。</w:t>
      </w:r>
    </w:p>
    <w:p>
      <w:pPr>
        <w:snapToGrid w:val="0"/>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（六）供应商参与人员</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各供应商应当派1-2名代表参与谈判，至少1人应为法定代表人（或其授权代表）或自然人（供应商为自然人）。</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43" w:name="_Toc22809"/>
      <w:bookmarkStart w:id="144" w:name="_Toc6242"/>
      <w:bookmarkStart w:id="145" w:name="_Toc14702"/>
      <w:bookmarkStart w:id="146" w:name="_Toc1526"/>
      <w:bookmarkStart w:id="147" w:name="_Toc65660358"/>
      <w:r>
        <w:rPr>
          <w:rFonts w:hint="eastAsia" w:ascii="方正仿宋_GBK" w:hAnsi="方正仿宋_GBK" w:eastAsia="方正仿宋_GBK" w:cs="方正仿宋_GBK"/>
          <w:sz w:val="28"/>
          <w:szCs w:val="28"/>
          <w:highlight w:val="none"/>
        </w:rPr>
        <w:t>四、成交供应商的确定和变更</w:t>
      </w:r>
      <w:bookmarkEnd w:id="143"/>
      <w:bookmarkEnd w:id="144"/>
      <w:bookmarkEnd w:id="145"/>
      <w:bookmarkEnd w:id="146"/>
      <w:bookmarkEnd w:id="147"/>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（一）采购人根据质量和服务均能满足采购文件实质性响应要求且最后报价最低的原则确定成交供应商。</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（二）成交供应商的变更</w:t>
      </w:r>
    </w:p>
    <w:p>
      <w:pPr>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成交供应商拒绝签订采购合同的，采购人可以按照推荐的成交候选人顺序，确定排名下一位的候选人为成交供应商，也可以重新开展采购活动。拒绝签订采购合同的成交供应商不得参加对该项目重新开展的采购活动。</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48" w:name="_Toc6800"/>
      <w:bookmarkStart w:id="149" w:name="_Toc1092"/>
      <w:bookmarkStart w:id="150" w:name="_Toc65660359"/>
      <w:bookmarkStart w:id="151" w:name="_Toc27637"/>
      <w:bookmarkStart w:id="152" w:name="_Toc29821"/>
      <w:r>
        <w:rPr>
          <w:rFonts w:hint="eastAsia" w:ascii="方正仿宋_GBK" w:hAnsi="方正仿宋_GBK" w:eastAsia="方正仿宋_GBK" w:cs="方正仿宋_GBK"/>
          <w:sz w:val="28"/>
          <w:szCs w:val="28"/>
          <w:highlight w:val="none"/>
        </w:rPr>
        <w:t>五、成交通知</w:t>
      </w:r>
      <w:bookmarkEnd w:id="148"/>
      <w:bookmarkEnd w:id="149"/>
      <w:bookmarkEnd w:id="150"/>
      <w:bookmarkEnd w:id="151"/>
      <w:bookmarkEnd w:id="152"/>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（一）成交供应商确定后，采购人将在重庆地质矿产研究院官网（</w:t>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"http://www.cqdky.com" </w:instrText>
      </w:r>
      <w:r>
        <w:rPr>
          <w:rFonts w:hint="eastAsia" w:ascii="方正仿宋_GBK" w:hAnsi="方正仿宋_GBK" w:eastAsia="方正仿宋_GBK" w:cs="方正仿宋_GBK"/>
          <w:color w:val="auto"/>
          <w:sz w:val="28"/>
          <w:szCs w:val="28"/>
          <w:highlight w:val="none"/>
        </w:rPr>
        <w:fldChar w:fldCharType="separate"/>
      </w:r>
      <w:r>
        <w:rPr>
          <w:rStyle w:val="20"/>
          <w:rFonts w:hint="eastAsia" w:ascii="方正仿宋_GBK" w:hAnsi="方正仿宋_GBK" w:eastAsia="方正仿宋_GBK" w:cs="方正仿宋_GBK"/>
          <w:color w:val="auto"/>
          <w:sz w:val="28"/>
          <w:szCs w:val="28"/>
          <w:highlight w:val="none"/>
        </w:rPr>
        <w:t>www.cqdky.com</w:t>
      </w:r>
      <w:r>
        <w:rPr>
          <w:rStyle w:val="20"/>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sz w:val="28"/>
          <w:szCs w:val="28"/>
          <w:highlight w:val="none"/>
        </w:rPr>
        <w:t>）上发布成交结果公告。</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（二）采购结果公告将作为签订合同的依据。</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53" w:name="_Toc65660360"/>
      <w:bookmarkStart w:id="154" w:name="_Toc2380"/>
      <w:bookmarkStart w:id="155" w:name="_Toc1010"/>
      <w:bookmarkStart w:id="156" w:name="_Toc30909"/>
      <w:bookmarkStart w:id="157" w:name="_Toc10029"/>
      <w:r>
        <w:rPr>
          <w:rFonts w:hint="eastAsia" w:ascii="方正仿宋_GBK" w:hAnsi="方正仿宋_GBK" w:eastAsia="方正仿宋_GBK" w:cs="方正仿宋_GBK"/>
          <w:sz w:val="28"/>
          <w:szCs w:val="28"/>
          <w:highlight w:val="none"/>
        </w:rPr>
        <w:t>六、关于质疑和投诉</w:t>
      </w:r>
      <w:bookmarkEnd w:id="153"/>
      <w:bookmarkEnd w:id="154"/>
      <w:bookmarkEnd w:id="155"/>
      <w:bookmarkEnd w:id="156"/>
      <w:bookmarkEnd w:id="157"/>
    </w:p>
    <w:p>
      <w:pPr>
        <w:spacing w:line="400" w:lineRule="exact"/>
        <w:ind w:firstLine="420" w:firstLineChars="15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（一）质疑</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供应商认为采购文件、采购过程和成交结果使自己的权益受到伤害的，可向采购人以书面形式提出质疑。</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提出质疑的应当是参与所质疑项目采购活动的供应商。 </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1.质疑时限、内容</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1.1供应商认为采购文件、采购过程、成交结果使自己的权益受到损害的，可以在知道或者应知其权益受到损害之日起7个工作日内，以书面形式向采购人提出质疑。</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1.2供应商提出质疑应当提交质疑函和必要的证明材料，质疑函应当包括下列内容：</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1.2.1供应商的姓名或者名称、地址、邮编、联系人及联系电话；</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1.2.2质疑项目的项目名称、项目号以及采购执行编号；</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1.2.3具体、明确的质疑事项和与质疑事项相关的请求；</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1.2.4事实依据；</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1.2.5必要的法律依据；</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1.2.6提出质疑的日期；</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1.2.7营业执照（或事业单位法人证书，或个体工商户营业执照或有效的自然人身份证明）复印件；</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2.质疑答复</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采购人应当在收到供应商的书面质疑后七个工作日内作出答复，并以书面形式通知质疑供应商和其他有关供应商。</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3.其他</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3.2质疑函范本可在财政部门户网站和中国政府采购网下载。</w:t>
      </w:r>
    </w:p>
    <w:p>
      <w:pPr>
        <w:spacing w:line="400" w:lineRule="exact"/>
        <w:ind w:right="12" w:firstLine="48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（二）投诉</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1.供应商对采购人的答复不满意，或者采购人未在规定时间内作出答复的，可以向重庆地质矿产研究院纪检审计部门提起投诉。</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3.投诉书应当使用中文。</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58" w:name="_Toc24546"/>
      <w:bookmarkStart w:id="159" w:name="_Toc3127"/>
      <w:bookmarkStart w:id="160" w:name="_Toc16858"/>
      <w:bookmarkStart w:id="161" w:name="_Toc16648"/>
      <w:bookmarkStart w:id="162" w:name="_Toc65660361"/>
      <w:r>
        <w:rPr>
          <w:rFonts w:hint="eastAsia" w:ascii="方正仿宋_GBK" w:hAnsi="方正仿宋_GBK" w:eastAsia="方正仿宋_GBK" w:cs="方正仿宋_GBK"/>
          <w:sz w:val="28"/>
          <w:szCs w:val="28"/>
          <w:highlight w:val="none"/>
        </w:rPr>
        <w:t>七、签订合同</w:t>
      </w:r>
      <w:bookmarkEnd w:id="158"/>
      <w:bookmarkEnd w:id="159"/>
      <w:bookmarkEnd w:id="160"/>
      <w:bookmarkEnd w:id="161"/>
      <w:bookmarkEnd w:id="162"/>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采购人原则上应在采购结果发布之日起二十日内和成交供应商签订采购合同，无正当理由不得拒绝或拖延合同签订。所签订的合同不得对竞争性谈判文件和供应商的响应文件作实质性修改。其他未尽事宜由采购人和成交供应商在采购合同中详细约定。</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（二）竞争性谈判文件、供应商的响应文件及澄清文件等，均为签订采购合同的依据。</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（三）合同生效条款由供需双方约定，法律、行政法规规定应当办理批准、登记等手续后生效的合同，依照其规定。</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（四）合同原则上应按照谈判文件中合同格式签订，相关单位要求适用合同通用格式版本的，应按其要求另行签订其他合同。</w:t>
      </w:r>
    </w:p>
    <w:p>
      <w:pPr>
        <w:spacing w:line="4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（五）采购人要求成交供应商提供履约保证金的，应当在竞争性谈判文件中予以约定。成交供应商履约完毕后，采购人根据采购文件规定无息退还其履约保证金。</w:t>
      </w: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63" w:name="_Toc4362"/>
      <w:bookmarkStart w:id="164" w:name="_Toc32556"/>
      <w:r>
        <w:rPr>
          <w:rFonts w:hint="eastAsia" w:ascii="方正仿宋_GBK" w:hAnsi="方正仿宋_GBK" w:eastAsia="方正仿宋_GBK" w:cs="方正仿宋_GBK"/>
          <w:sz w:val="28"/>
          <w:szCs w:val="28"/>
          <w:highlight w:val="none"/>
        </w:rPr>
        <w:t>八、项目验收</w:t>
      </w:r>
      <w:bookmarkEnd w:id="163"/>
      <w:bookmarkEnd w:id="164"/>
    </w:p>
    <w:p>
      <w:pPr>
        <w:spacing w:line="400" w:lineRule="exact"/>
        <w:ind w:firstLine="420" w:firstLineChars="150"/>
        <w:rPr>
          <w:rFonts w:hint="eastAsia" w:ascii="方正仿宋_GBK" w:hAnsi="方正仿宋_GBK" w:eastAsia="方正仿宋_GBK" w:cs="方正仿宋_GBK"/>
          <w:sz w:val="28"/>
          <w:szCs w:val="28"/>
          <w:highlight w:val="none"/>
        </w:rPr>
        <w:sectPr>
          <w:pgSz w:w="11907" w:h="16840"/>
          <w:pgMar w:top="1134" w:right="1191" w:bottom="1134" w:left="1304" w:header="964" w:footer="992" w:gutter="0"/>
          <w:cols w:space="720" w:num="1"/>
          <w:docGrid w:linePitch="312" w:charSpace="0"/>
        </w:sectPr>
      </w:pPr>
      <w:r>
        <w:rPr>
          <w:rFonts w:hint="eastAsia" w:ascii="方正仿宋_GBK" w:hAnsi="方正仿宋_GBK" w:eastAsia="方正仿宋_GBK" w:cs="方正仿宋_GBK"/>
          <w:sz w:val="28"/>
          <w:szCs w:val="28"/>
          <w:highlight w:val="none"/>
        </w:rPr>
        <w:t>按合同约定执行。</w:t>
      </w:r>
    </w:p>
    <w:p>
      <w:pPr>
        <w:spacing w:line="400" w:lineRule="exact"/>
        <w:rPr>
          <w:rFonts w:ascii="Times New Roman" w:hAnsi="Times New Roman" w:eastAsia="方正仿宋_GBK" w:cs="Times New Roman"/>
          <w:sz w:val="24"/>
          <w:highlight w:val="none"/>
        </w:rPr>
      </w:pPr>
    </w:p>
    <w:bookmarkEnd w:id="78"/>
    <w:p>
      <w:pPr>
        <w:pStyle w:val="4"/>
        <w:numPr>
          <w:ilvl w:val="0"/>
          <w:numId w:val="2"/>
        </w:numPr>
        <w:spacing w:before="0" w:after="0" w:line="360" w:lineRule="auto"/>
        <w:jc w:val="center"/>
        <w:rPr>
          <w:rFonts w:ascii="Times New Roman" w:hAnsi="Times New Roman" w:cs="Times New Roman"/>
          <w:b w:val="0"/>
          <w:szCs w:val="30"/>
          <w:highlight w:val="none"/>
        </w:rPr>
      </w:pPr>
      <w:bookmarkStart w:id="165" w:name="_Toc11641055"/>
      <w:bookmarkStart w:id="166" w:name="_Toc12789059"/>
      <w:bookmarkStart w:id="167" w:name="_Toc14861"/>
      <w:bookmarkStart w:id="168" w:name="_Toc31048"/>
      <w:bookmarkStart w:id="169" w:name="_Toc28162"/>
      <w:bookmarkStart w:id="170" w:name="_Toc65660365"/>
      <w:r>
        <w:rPr>
          <w:rFonts w:ascii="Times New Roman" w:hAnsi="Times New Roman" w:cs="Times New Roman"/>
          <w:b w:val="0"/>
          <w:szCs w:val="30"/>
          <w:highlight w:val="none"/>
        </w:rPr>
        <w:t xml:space="preserve"> </w:t>
      </w:r>
      <w:bookmarkEnd w:id="165"/>
      <w:bookmarkEnd w:id="166"/>
      <w:bookmarkStart w:id="171" w:name="_Toc21980"/>
      <w:r>
        <w:rPr>
          <w:rFonts w:ascii="Times New Roman" w:hAnsi="Times New Roman" w:cs="Times New Roman"/>
          <w:b w:val="0"/>
          <w:szCs w:val="30"/>
          <w:highlight w:val="none"/>
        </w:rPr>
        <w:t>合同草案条款</w:t>
      </w:r>
      <w:bookmarkEnd w:id="167"/>
      <w:bookmarkEnd w:id="168"/>
      <w:bookmarkEnd w:id="169"/>
      <w:bookmarkEnd w:id="170"/>
      <w:bookmarkEnd w:id="171"/>
    </w:p>
    <w:p>
      <w:pPr>
        <w:spacing w:line="500" w:lineRule="exact"/>
        <w:jc w:val="center"/>
        <w:rPr>
          <w:rFonts w:hint="eastAsia" w:ascii="方正仿宋_GBK" w:eastAsia="方正仿宋_GBK"/>
          <w:b/>
          <w:sz w:val="44"/>
        </w:rPr>
      </w:pPr>
      <w:r>
        <w:rPr>
          <w:rFonts w:hint="eastAsia" w:ascii="方正仿宋_GBK" w:eastAsia="方正仿宋_GBK"/>
          <w:b/>
          <w:sz w:val="44"/>
        </w:rPr>
        <w:t>采购合同</w:t>
      </w:r>
    </w:p>
    <w:p>
      <w:pPr>
        <w:spacing w:line="500" w:lineRule="exact"/>
        <w:jc w:val="center"/>
        <w:rPr>
          <w:rFonts w:hint="eastAsia" w:ascii="方正仿宋_GBK" w:eastAsia="方正仿宋_GBK"/>
          <w:sz w:val="28"/>
          <w:szCs w:val="28"/>
        </w:rPr>
      </w:pPr>
      <w:r>
        <w:rPr>
          <w:rFonts w:hint="eastAsia" w:ascii="方正仿宋_GBK" w:eastAsia="方正仿宋_GBK"/>
          <w:sz w:val="28"/>
          <w:szCs w:val="28"/>
        </w:rPr>
        <w:t>（项目号：</w:t>
      </w:r>
      <w:r>
        <w:rPr>
          <w:rFonts w:hint="eastAsia" w:ascii="方正仿宋_GBK" w:eastAsia="方正仿宋_GBK"/>
          <w:sz w:val="28"/>
          <w:szCs w:val="28"/>
          <w:highlight w:val="none"/>
        </w:rPr>
        <w:t>CQDY20250</w:t>
      </w:r>
      <w:r>
        <w:rPr>
          <w:rFonts w:hint="eastAsia" w:ascii="方正仿宋_GBK" w:eastAsia="方正仿宋_GBK"/>
          <w:sz w:val="28"/>
          <w:szCs w:val="28"/>
          <w:highlight w:val="none"/>
          <w:lang w:val="en-US" w:eastAsia="zh-CN"/>
        </w:rPr>
        <w:t>9</w:t>
      </w:r>
      <w:r>
        <w:rPr>
          <w:rFonts w:hint="eastAsia" w:ascii="方正仿宋_GBK" w:eastAsia="方正仿宋_GBK"/>
          <w:sz w:val="28"/>
          <w:szCs w:val="28"/>
        </w:rPr>
        <w:t>）</w:t>
      </w:r>
    </w:p>
    <w:p>
      <w:pPr>
        <w:spacing w:line="500" w:lineRule="exact"/>
        <w:rPr>
          <w:rFonts w:hint="eastAsia" w:ascii="方正仿宋_GBK" w:eastAsia="方正仿宋_GBK"/>
          <w:sz w:val="24"/>
        </w:rPr>
      </w:pPr>
      <w:r>
        <w:rPr>
          <w:rFonts w:hint="eastAsia" w:ascii="方正仿宋_GBK" w:eastAsia="方正仿宋_GBK"/>
          <w:sz w:val="24"/>
        </w:rPr>
        <w:t>甲方（</w:t>
      </w:r>
      <w:r>
        <w:rPr>
          <w:rFonts w:hint="eastAsia" w:ascii="方正仿宋_GBK" w:eastAsia="方正仿宋_GBK"/>
          <w:sz w:val="24"/>
          <w:lang w:val="en-US" w:eastAsia="zh-CN"/>
        </w:rPr>
        <w:t>采购方</w:t>
      </w:r>
      <w:r>
        <w:rPr>
          <w:rFonts w:hint="eastAsia" w:ascii="方正仿宋_GBK" w:eastAsia="方正仿宋_GBK"/>
          <w:sz w:val="24"/>
        </w:rPr>
        <w:t xml:space="preserve">）：___________________________     </w:t>
      </w:r>
    </w:p>
    <w:p>
      <w:pPr>
        <w:spacing w:line="500" w:lineRule="exact"/>
        <w:rPr>
          <w:rFonts w:hint="eastAsia" w:ascii="方正仿宋_GBK" w:eastAsia="方正仿宋_GBK"/>
          <w:sz w:val="24"/>
        </w:rPr>
      </w:pPr>
      <w:r>
        <w:rPr>
          <w:rFonts w:hint="eastAsia" w:ascii="方正仿宋_GBK" w:eastAsia="方正仿宋_GBK"/>
          <w:sz w:val="24"/>
        </w:rPr>
        <w:t>乙方（</w:t>
      </w:r>
      <w:r>
        <w:rPr>
          <w:rFonts w:hint="eastAsia" w:ascii="方正仿宋_GBK" w:eastAsia="方正仿宋_GBK"/>
          <w:sz w:val="24"/>
          <w:lang w:val="en-US" w:eastAsia="zh-CN"/>
        </w:rPr>
        <w:t>供应商</w:t>
      </w:r>
      <w:r>
        <w:rPr>
          <w:rFonts w:hint="eastAsia" w:ascii="方正仿宋_GBK" w:eastAsia="方正仿宋_GBK"/>
          <w:sz w:val="24"/>
        </w:rPr>
        <w:t xml:space="preserve">）：___________________________     </w:t>
      </w:r>
    </w:p>
    <w:p>
      <w:pPr>
        <w:spacing w:line="500" w:lineRule="exact"/>
        <w:rPr>
          <w:rFonts w:hint="eastAsia" w:ascii="方正仿宋_GBK" w:eastAsia="方正仿宋_GBK"/>
          <w:sz w:val="24"/>
        </w:rPr>
      </w:pPr>
      <w:r>
        <w:rPr>
          <w:rFonts w:hint="eastAsia" w:ascii="方正仿宋_GBK" w:eastAsia="方正仿宋_GBK"/>
          <w:sz w:val="24"/>
        </w:rPr>
        <w:t>经双方协商一致，达成以下</w:t>
      </w:r>
      <w:r>
        <w:rPr>
          <w:rFonts w:hint="eastAsia" w:ascii="方正仿宋_GBK" w:eastAsia="方正仿宋_GBK"/>
          <w:sz w:val="24"/>
          <w:lang w:val="en-US" w:eastAsia="zh-CN"/>
        </w:rPr>
        <w:t>采购</w:t>
      </w:r>
      <w:r>
        <w:rPr>
          <w:rFonts w:hint="eastAsia" w:ascii="方正仿宋_GBK" w:eastAsia="方正仿宋_GBK"/>
          <w:sz w:val="24"/>
        </w:rPr>
        <w:t>合同：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20"/>
        <w:gridCol w:w="53"/>
        <w:gridCol w:w="1447"/>
        <w:gridCol w:w="1811"/>
        <w:gridCol w:w="17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lang w:val="en-US" w:eastAsia="zh-CN"/>
              </w:rPr>
              <w:t>采购</w:t>
            </w:r>
            <w:r>
              <w:rPr>
                <w:rFonts w:hint="eastAsia" w:ascii="方正仿宋_GBK" w:eastAsia="方正仿宋_GBK"/>
                <w:sz w:val="21"/>
                <w:szCs w:val="21"/>
              </w:rPr>
              <w:t>名称</w:t>
            </w:r>
          </w:p>
        </w:tc>
        <w:tc>
          <w:tcPr>
            <w:tcW w:w="1520"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数量</w:t>
            </w:r>
          </w:p>
        </w:tc>
        <w:tc>
          <w:tcPr>
            <w:tcW w:w="1500" w:type="dxa"/>
            <w:gridSpan w:val="2"/>
            <w:noWrap w:val="0"/>
            <w:vAlign w:val="center"/>
          </w:tcPr>
          <w:p>
            <w:pPr>
              <w:spacing w:line="240" w:lineRule="atLeast"/>
              <w:jc w:val="center"/>
              <w:rPr>
                <w:rFonts w:hint="default" w:ascii="方正仿宋_GBK" w:eastAsia="方正仿宋_GBK"/>
                <w:sz w:val="21"/>
                <w:szCs w:val="21"/>
                <w:lang w:val="en-US" w:eastAsia="zh-CN"/>
              </w:rPr>
            </w:pPr>
            <w:r>
              <w:rPr>
                <w:rFonts w:hint="eastAsia" w:ascii="方正仿宋_GBK" w:eastAsia="方正仿宋_GBK"/>
                <w:sz w:val="21"/>
                <w:szCs w:val="21"/>
                <w:lang w:val="en-US" w:eastAsia="zh-CN"/>
              </w:rPr>
              <w:t>单位</w:t>
            </w:r>
          </w:p>
        </w:tc>
        <w:tc>
          <w:tcPr>
            <w:tcW w:w="181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服务时间</w:t>
            </w:r>
          </w:p>
        </w:tc>
        <w:tc>
          <w:tcPr>
            <w:tcW w:w="171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p>
        </w:tc>
        <w:tc>
          <w:tcPr>
            <w:tcW w:w="1520" w:type="dxa"/>
            <w:noWrap w:val="0"/>
            <w:vAlign w:val="center"/>
          </w:tcPr>
          <w:p>
            <w:pPr>
              <w:spacing w:line="240" w:lineRule="atLeast"/>
              <w:jc w:val="center"/>
              <w:rPr>
                <w:rFonts w:hint="eastAsia" w:ascii="方正仿宋_GBK" w:eastAsia="方正仿宋_GBK"/>
                <w:sz w:val="21"/>
                <w:szCs w:val="21"/>
              </w:rPr>
            </w:pPr>
          </w:p>
        </w:tc>
        <w:tc>
          <w:tcPr>
            <w:tcW w:w="1500" w:type="dxa"/>
            <w:gridSpan w:val="2"/>
            <w:noWrap w:val="0"/>
            <w:vAlign w:val="center"/>
          </w:tcPr>
          <w:p>
            <w:pPr>
              <w:spacing w:line="240" w:lineRule="atLeast"/>
              <w:jc w:val="center"/>
              <w:rPr>
                <w:rFonts w:hint="eastAsia" w:ascii="方正仿宋_GBK" w:eastAsia="方正仿宋_GBK"/>
                <w:sz w:val="21"/>
                <w:szCs w:val="21"/>
              </w:rPr>
            </w:pPr>
          </w:p>
        </w:tc>
        <w:tc>
          <w:tcPr>
            <w:tcW w:w="1811" w:type="dxa"/>
            <w:noWrap w:val="0"/>
            <w:vAlign w:val="center"/>
          </w:tcPr>
          <w:p>
            <w:pPr>
              <w:spacing w:line="240" w:lineRule="atLeast"/>
              <w:jc w:val="center"/>
              <w:rPr>
                <w:rFonts w:hint="eastAsia" w:ascii="方正仿宋_GBK" w:eastAsia="方正仿宋_GBK"/>
                <w:sz w:val="21"/>
                <w:szCs w:val="21"/>
              </w:rPr>
            </w:pPr>
          </w:p>
        </w:tc>
        <w:tc>
          <w:tcPr>
            <w:tcW w:w="1711" w:type="dxa"/>
            <w:noWrap w:val="0"/>
            <w:vAlign w:val="center"/>
          </w:tcPr>
          <w:p>
            <w:pPr>
              <w:spacing w:line="240" w:lineRule="atLeast"/>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p>
        </w:tc>
        <w:tc>
          <w:tcPr>
            <w:tcW w:w="1520" w:type="dxa"/>
            <w:noWrap w:val="0"/>
            <w:vAlign w:val="center"/>
          </w:tcPr>
          <w:p>
            <w:pPr>
              <w:spacing w:line="240" w:lineRule="atLeast"/>
              <w:jc w:val="center"/>
              <w:rPr>
                <w:rFonts w:hint="eastAsia" w:ascii="方正仿宋_GBK" w:eastAsia="方正仿宋_GBK"/>
                <w:sz w:val="21"/>
                <w:szCs w:val="21"/>
              </w:rPr>
            </w:pPr>
          </w:p>
        </w:tc>
        <w:tc>
          <w:tcPr>
            <w:tcW w:w="1500" w:type="dxa"/>
            <w:gridSpan w:val="2"/>
            <w:noWrap w:val="0"/>
            <w:vAlign w:val="center"/>
          </w:tcPr>
          <w:p>
            <w:pPr>
              <w:spacing w:line="240" w:lineRule="atLeast"/>
              <w:jc w:val="center"/>
              <w:rPr>
                <w:rFonts w:hint="eastAsia" w:ascii="方正仿宋_GBK" w:eastAsia="方正仿宋_GBK"/>
                <w:sz w:val="21"/>
                <w:szCs w:val="21"/>
              </w:rPr>
            </w:pPr>
          </w:p>
        </w:tc>
        <w:tc>
          <w:tcPr>
            <w:tcW w:w="1811" w:type="dxa"/>
            <w:noWrap w:val="0"/>
            <w:vAlign w:val="center"/>
          </w:tcPr>
          <w:p>
            <w:pPr>
              <w:spacing w:line="240" w:lineRule="atLeast"/>
              <w:jc w:val="center"/>
              <w:rPr>
                <w:rFonts w:hint="eastAsia" w:ascii="方正仿宋_GBK" w:eastAsia="方正仿宋_GBK"/>
                <w:sz w:val="21"/>
                <w:szCs w:val="21"/>
              </w:rPr>
            </w:pPr>
          </w:p>
        </w:tc>
        <w:tc>
          <w:tcPr>
            <w:tcW w:w="1711" w:type="dxa"/>
            <w:noWrap w:val="0"/>
            <w:vAlign w:val="center"/>
          </w:tcPr>
          <w:p>
            <w:pPr>
              <w:spacing w:line="240" w:lineRule="atLeast"/>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noWrap w:val="0"/>
            <w:vAlign w:val="center"/>
          </w:tcPr>
          <w:p>
            <w:pPr>
              <w:spacing w:line="240" w:lineRule="atLeast"/>
              <w:rPr>
                <w:rFonts w:hint="eastAsia" w:ascii="方正仿宋_GBK" w:eastAsia="方正仿宋_GBK"/>
                <w:sz w:val="21"/>
                <w:szCs w:val="21"/>
              </w:rPr>
            </w:pPr>
            <w:r>
              <w:rPr>
                <w:rFonts w:hint="eastAsia" w:ascii="方正仿宋_GBK" w:eastAsia="方正仿宋_GBK"/>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noWrap w:val="0"/>
            <w:vAlign w:val="center"/>
          </w:tcPr>
          <w:p>
            <w:pPr>
              <w:spacing w:line="240" w:lineRule="atLeast"/>
              <w:rPr>
                <w:rFonts w:hint="eastAsia" w:ascii="方正仿宋_GBK" w:eastAsia="方正仿宋_GBK"/>
                <w:sz w:val="21"/>
                <w:szCs w:val="21"/>
              </w:rPr>
            </w:pPr>
            <w:r>
              <w:rPr>
                <w:rFonts w:hint="eastAsia" w:ascii="方正仿宋_GBK" w:eastAsia="方正仿宋_GBK"/>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6"/>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二、</w:t>
            </w:r>
            <w:r>
              <w:rPr>
                <w:rFonts w:hint="eastAsia" w:ascii="方正仿宋_GBK" w:eastAsia="方正仿宋_GBK"/>
                <w:sz w:val="21"/>
                <w:szCs w:val="21"/>
                <w:lang w:val="en-US" w:eastAsia="zh-CN"/>
              </w:rPr>
              <w:t>验收</w:t>
            </w:r>
            <w:r>
              <w:rPr>
                <w:rFonts w:hint="eastAsia" w:ascii="方正仿宋_GBK" w:eastAsia="方正仿宋_GBK"/>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三、付款方式：</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7"/>
            <w:noWrap w:val="0"/>
            <w:vAlign w:val="top"/>
          </w:tcPr>
          <w:p>
            <w:pPr>
              <w:rPr>
                <w:rFonts w:hint="eastAsia" w:ascii="方正仿宋_GBK" w:eastAsia="方正仿宋_GBK"/>
                <w:sz w:val="21"/>
                <w:szCs w:val="21"/>
              </w:rPr>
            </w:pPr>
            <w:r>
              <w:rPr>
                <w:rFonts w:hint="eastAsia" w:ascii="方正仿宋_GBK" w:eastAsia="方正仿宋_GBK"/>
                <w:sz w:val="21"/>
                <w:szCs w:val="21"/>
                <w:lang w:val="en-US" w:eastAsia="zh-CN"/>
              </w:rPr>
              <w:t>四、</w:t>
            </w:r>
            <w:r>
              <w:rPr>
                <w:rFonts w:hint="eastAsia" w:ascii="方正仿宋_GBK" w:eastAsia="方正仿宋_GBK"/>
                <w:sz w:val="21"/>
                <w:szCs w:val="21"/>
              </w:rPr>
              <w:t>履约保证金</w:t>
            </w:r>
            <w:r>
              <w:rPr>
                <w:rFonts w:ascii="方正仿宋_GBK"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lang w:val="en-US" w:eastAsia="zh-CN"/>
              </w:rPr>
              <w:t>五</w:t>
            </w:r>
            <w:r>
              <w:rPr>
                <w:rFonts w:hint="eastAsia" w:ascii="方正仿宋_GBK" w:eastAsia="方正仿宋_GBK"/>
                <w:sz w:val="21"/>
                <w:szCs w:val="21"/>
              </w:rPr>
              <w:t>、违约责任：</w:t>
            </w:r>
          </w:p>
          <w:p>
            <w:pPr>
              <w:spacing w:line="240" w:lineRule="atLeast"/>
              <w:rPr>
                <w:rFonts w:hint="eastAsia"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lang w:val="en-US" w:eastAsia="zh-CN"/>
              </w:rPr>
              <w:t>六</w:t>
            </w:r>
            <w:r>
              <w:rPr>
                <w:rFonts w:hint="eastAsia" w:ascii="方正仿宋_GBK" w:eastAsia="方正仿宋_GBK"/>
                <w:sz w:val="21"/>
                <w:szCs w:val="21"/>
              </w:rPr>
              <w:t>、其他约定事项：</w:t>
            </w:r>
          </w:p>
          <w:p>
            <w:pPr>
              <w:spacing w:line="240" w:lineRule="atLeast"/>
              <w:rPr>
                <w:rFonts w:hint="eastAsia" w:ascii="方正仿宋_GBK" w:eastAsia="方正仿宋_GBK"/>
                <w:sz w:val="21"/>
                <w:szCs w:val="21"/>
              </w:rPr>
            </w:pPr>
            <w:r>
              <w:rPr>
                <w:rFonts w:hint="eastAsia" w:ascii="方正仿宋_GBK" w:eastAsia="方正仿宋_GBK"/>
                <w:sz w:val="21"/>
                <w:szCs w:val="21"/>
              </w:rPr>
              <w:t>1.</w:t>
            </w:r>
            <w:r>
              <w:rPr>
                <w:rFonts w:hint="eastAsia" w:ascii="方正仿宋_GBK" w:eastAsia="方正仿宋_GBK"/>
                <w:sz w:val="21"/>
                <w:szCs w:val="21"/>
                <w:lang w:val="en-US" w:eastAsia="zh-CN"/>
              </w:rPr>
              <w:t>竞争性谈判</w:t>
            </w:r>
            <w:r>
              <w:rPr>
                <w:rFonts w:hint="eastAsia" w:ascii="方正仿宋_GBK" w:eastAsia="方正仿宋_GBK"/>
                <w:sz w:val="21"/>
                <w:szCs w:val="21"/>
              </w:rPr>
              <w:t>文件及其澄清文件、响应文件和承诺是本合同不可分割的部分。</w:t>
            </w:r>
          </w:p>
          <w:p>
            <w:pPr>
              <w:spacing w:line="240" w:lineRule="atLeast"/>
              <w:rPr>
                <w:rFonts w:hint="eastAsia"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pPr>
              <w:spacing w:line="240" w:lineRule="atLeast"/>
              <w:rPr>
                <w:rFonts w:hint="eastAsia" w:ascii="方正仿宋_GBK" w:eastAsia="方正仿宋_GBK"/>
                <w:sz w:val="21"/>
                <w:szCs w:val="21"/>
              </w:rPr>
            </w:pPr>
            <w:r>
              <w:rPr>
                <w:rFonts w:hint="eastAsia" w:ascii="方正仿宋_GBK" w:eastAsia="方正仿宋_GBK"/>
                <w:sz w:val="21"/>
                <w:szCs w:val="21"/>
              </w:rPr>
              <w:t>3.本合同一式__份， 需方__份，供方__份，具同等法律效力。</w:t>
            </w:r>
          </w:p>
          <w:p>
            <w:pPr>
              <w:spacing w:line="240" w:lineRule="atLeast"/>
              <w:rPr>
                <w:rFonts w:hint="eastAsia" w:ascii="方正仿宋_GBK" w:eastAsia="方正仿宋_GBK"/>
                <w:sz w:val="21"/>
                <w:szCs w:val="21"/>
              </w:rPr>
            </w:pPr>
            <w:r>
              <w:rPr>
                <w:rFonts w:hint="eastAsia" w:ascii="方正仿宋_GBK" w:eastAsia="方正仿宋_GBK"/>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lang w:val="en-US" w:eastAsia="zh-CN"/>
              </w:rPr>
              <w:t>甲方</w:t>
            </w:r>
            <w:r>
              <w:rPr>
                <w:rFonts w:hint="eastAsia" w:ascii="方正仿宋_GBK" w:eastAsia="方正仿宋_GBK"/>
                <w:sz w:val="21"/>
                <w:szCs w:val="21"/>
              </w:rPr>
              <w:t>：</w:t>
            </w:r>
          </w:p>
          <w:p>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pPr>
              <w:spacing w:line="240" w:lineRule="atLeast"/>
              <w:rPr>
                <w:rFonts w:hint="eastAsia" w:ascii="方正仿宋_GBK" w:eastAsia="方正仿宋_GBK"/>
                <w:sz w:val="21"/>
                <w:szCs w:val="21"/>
              </w:rPr>
            </w:pPr>
            <w:r>
              <w:rPr>
                <w:rFonts w:hint="eastAsia" w:ascii="方正仿宋_GBK" w:eastAsia="方正仿宋_GBK"/>
                <w:sz w:val="21"/>
                <w:szCs w:val="21"/>
              </w:rPr>
              <w:t>联系电话：</w:t>
            </w:r>
          </w:p>
          <w:p>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tc>
        <w:tc>
          <w:tcPr>
            <w:tcW w:w="4984" w:type="dxa"/>
            <w:gridSpan w:val="4"/>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lang w:val="en-US" w:eastAsia="zh-CN"/>
              </w:rPr>
              <w:t>乙方</w:t>
            </w:r>
            <w:r>
              <w:rPr>
                <w:rFonts w:hint="eastAsia" w:ascii="方正仿宋_GBK" w:eastAsia="方正仿宋_GBK"/>
                <w:sz w:val="21"/>
                <w:szCs w:val="21"/>
              </w:rPr>
              <w:t>：</w:t>
            </w:r>
          </w:p>
          <w:p>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pPr>
              <w:spacing w:line="240" w:lineRule="atLeast"/>
              <w:rPr>
                <w:rFonts w:hint="eastAsia" w:ascii="方正仿宋_GBK" w:eastAsia="方正仿宋_GBK"/>
                <w:sz w:val="21"/>
                <w:szCs w:val="21"/>
              </w:rPr>
            </w:pPr>
            <w:r>
              <w:rPr>
                <w:rFonts w:hint="eastAsia" w:ascii="方正仿宋_GBK" w:eastAsia="方正仿宋_GBK"/>
                <w:sz w:val="21"/>
                <w:szCs w:val="21"/>
              </w:rPr>
              <w:t>电话：</w:t>
            </w:r>
          </w:p>
          <w:p>
            <w:pPr>
              <w:spacing w:line="240" w:lineRule="atLeast"/>
              <w:rPr>
                <w:rFonts w:hint="eastAsia" w:ascii="方正仿宋_GBK" w:eastAsia="方正仿宋_GBK"/>
                <w:sz w:val="21"/>
                <w:szCs w:val="21"/>
              </w:rPr>
            </w:pPr>
            <w:r>
              <w:rPr>
                <w:rFonts w:hint="eastAsia" w:ascii="方正仿宋_GBK" w:eastAsia="方正仿宋_GBK"/>
                <w:sz w:val="21"/>
                <w:szCs w:val="21"/>
              </w:rPr>
              <w:t>传真：</w:t>
            </w:r>
          </w:p>
          <w:p>
            <w:pPr>
              <w:spacing w:line="240" w:lineRule="atLeast"/>
              <w:rPr>
                <w:rFonts w:hint="eastAsia" w:ascii="方正仿宋_GBK" w:eastAsia="方正仿宋_GBK"/>
                <w:sz w:val="21"/>
                <w:szCs w:val="21"/>
              </w:rPr>
            </w:pPr>
            <w:r>
              <w:rPr>
                <w:rFonts w:hint="eastAsia" w:ascii="方正仿宋_GBK" w:eastAsia="方正仿宋_GBK"/>
                <w:sz w:val="21"/>
                <w:szCs w:val="21"/>
              </w:rPr>
              <w:t>开户银行：</w:t>
            </w:r>
          </w:p>
          <w:p>
            <w:pPr>
              <w:spacing w:line="240" w:lineRule="atLeast"/>
              <w:rPr>
                <w:rFonts w:hint="eastAsia" w:ascii="方正仿宋_GBK" w:eastAsia="方正仿宋_GBK"/>
                <w:sz w:val="21"/>
                <w:szCs w:val="21"/>
              </w:rPr>
            </w:pPr>
            <w:r>
              <w:rPr>
                <w:rFonts w:hint="eastAsia" w:ascii="方正仿宋_GBK" w:eastAsia="方正仿宋_GBK"/>
                <w:sz w:val="21"/>
                <w:szCs w:val="21"/>
              </w:rPr>
              <w:t>账号：</w:t>
            </w:r>
          </w:p>
          <w:p>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p>
            <w:pPr>
              <w:widowControl/>
              <w:spacing w:line="240" w:lineRule="atLeast"/>
              <w:jc w:val="left"/>
              <w:rPr>
                <w:rFonts w:hint="eastAsia" w:ascii="方正仿宋_GBK" w:eastAsia="方正仿宋_GBK"/>
                <w:sz w:val="21"/>
                <w:szCs w:val="21"/>
              </w:rPr>
            </w:pPr>
            <w:r>
              <w:rPr>
                <w:rFonts w:hint="eastAsia" w:ascii="方正仿宋_GBK" w:eastAsia="方正仿宋_GBK"/>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备注：</w:t>
            </w:r>
          </w:p>
          <w:p>
            <w:pPr>
              <w:spacing w:line="240" w:lineRule="atLeast"/>
              <w:rPr>
                <w:rFonts w:hint="eastAsia" w:ascii="方正仿宋_GBK" w:eastAsia="方正仿宋_GBK"/>
                <w:sz w:val="21"/>
                <w:szCs w:val="21"/>
              </w:rPr>
            </w:pPr>
          </w:p>
          <w:p>
            <w:pPr>
              <w:spacing w:line="240" w:lineRule="atLeast"/>
              <w:rPr>
                <w:rFonts w:hint="eastAsia" w:ascii="方正仿宋_GBK" w:eastAsia="方正仿宋_GBK"/>
                <w:sz w:val="21"/>
                <w:szCs w:val="21"/>
              </w:rPr>
            </w:pPr>
          </w:p>
        </w:tc>
      </w:tr>
    </w:tbl>
    <w:p>
      <w:pPr>
        <w:widowControl w:val="0"/>
        <w:numPr>
          <w:ilvl w:val="0"/>
          <w:numId w:val="0"/>
        </w:numPr>
        <w:jc w:val="both"/>
      </w:pPr>
      <w:r>
        <w:rPr>
          <w:rFonts w:hint="eastAsia" w:ascii="方正仿宋_GBK" w:eastAsia="方正仿宋_GBK"/>
          <w:sz w:val="24"/>
        </w:rPr>
        <w:t>签约时间：           年   月   日      签约地点：</w:t>
      </w:r>
    </w:p>
    <w:p/>
    <w:p>
      <w:pPr>
        <w:sectPr>
          <w:pgSz w:w="11907" w:h="16840"/>
          <w:pgMar w:top="1134" w:right="1191" w:bottom="1134" w:left="1304" w:header="964" w:footer="992" w:gutter="0"/>
          <w:cols w:space="720" w:num="1"/>
          <w:docGrid w:linePitch="312" w:charSpace="0"/>
        </w:sectPr>
      </w:pPr>
    </w:p>
    <w:p>
      <w:pPr>
        <w:pStyle w:val="4"/>
        <w:spacing w:before="0" w:after="0" w:line="360" w:lineRule="auto"/>
        <w:jc w:val="center"/>
        <w:rPr>
          <w:rFonts w:ascii="Times New Roman" w:hAnsi="Times New Roman" w:cs="Times New Roman"/>
          <w:b w:val="0"/>
          <w:szCs w:val="30"/>
          <w:highlight w:val="none"/>
        </w:rPr>
      </w:pPr>
      <w:bookmarkStart w:id="172" w:name="_Hlt41879464"/>
      <w:bookmarkEnd w:id="172"/>
      <w:bookmarkStart w:id="173" w:name="_Toc65660378"/>
      <w:bookmarkStart w:id="174" w:name="_Toc6931"/>
      <w:bookmarkStart w:id="175" w:name="_Toc9538"/>
      <w:bookmarkStart w:id="176" w:name="_Toc6968"/>
      <w:bookmarkStart w:id="177" w:name="_Toc25812"/>
      <w:bookmarkStart w:id="178" w:name="_Toc12789072"/>
      <w:r>
        <w:rPr>
          <w:rFonts w:ascii="Times New Roman" w:hAnsi="Times New Roman" w:cs="Times New Roman"/>
          <w:b w:val="0"/>
          <w:szCs w:val="30"/>
          <w:highlight w:val="none"/>
        </w:rPr>
        <w:t>第七篇  响应文件格式要求</w:t>
      </w:r>
      <w:bookmarkEnd w:id="173"/>
      <w:bookmarkEnd w:id="174"/>
      <w:bookmarkEnd w:id="175"/>
      <w:bookmarkEnd w:id="176"/>
      <w:bookmarkEnd w:id="177"/>
      <w:bookmarkEnd w:id="178"/>
    </w:p>
    <w:p>
      <w:pPr>
        <w:spacing w:line="400" w:lineRule="exact"/>
        <w:ind w:firstLine="562" w:firstLineChars="200"/>
        <w:rPr>
          <w:rFonts w:ascii="Times New Roman" w:hAnsi="Times New Roman" w:eastAsia="方正仿宋_GBK" w:cs="Times New Roman"/>
          <w:b/>
          <w:sz w:val="28"/>
          <w:szCs w:val="28"/>
          <w:highlight w:val="none"/>
        </w:rPr>
      </w:pPr>
      <w:r>
        <w:rPr>
          <w:rFonts w:ascii="Times New Roman" w:hAnsi="Times New Roman" w:eastAsia="方正仿宋_GBK" w:cs="Times New Roman"/>
          <w:b/>
          <w:sz w:val="28"/>
          <w:szCs w:val="28"/>
          <w:highlight w:val="none"/>
        </w:rPr>
        <w:t>一、经济部分</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（一）竞争性报价函</w:t>
      </w:r>
    </w:p>
    <w:p>
      <w:pPr>
        <w:spacing w:line="400" w:lineRule="exact"/>
        <w:ind w:firstLine="562" w:firstLineChars="200"/>
        <w:rPr>
          <w:rFonts w:ascii="Times New Roman" w:hAnsi="Times New Roman" w:eastAsia="方正仿宋_GBK" w:cs="Times New Roman"/>
          <w:b/>
          <w:sz w:val="28"/>
          <w:szCs w:val="28"/>
          <w:highlight w:val="none"/>
        </w:rPr>
      </w:pPr>
      <w:r>
        <w:rPr>
          <w:rFonts w:ascii="Times New Roman" w:hAnsi="Times New Roman" w:eastAsia="方正仿宋_GBK" w:cs="Times New Roman"/>
          <w:b/>
          <w:sz w:val="28"/>
          <w:szCs w:val="28"/>
          <w:highlight w:val="none"/>
        </w:rPr>
        <w:t>二、技术（质量）部分</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（一）技术（质量）响应偏离表</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（二）其他资料（格式自定）</w:t>
      </w:r>
    </w:p>
    <w:p>
      <w:pPr>
        <w:spacing w:line="400" w:lineRule="exact"/>
        <w:ind w:firstLine="562" w:firstLineChars="200"/>
        <w:rPr>
          <w:rFonts w:ascii="Times New Roman" w:hAnsi="Times New Roman" w:eastAsia="方正仿宋_GBK" w:cs="Times New Roman"/>
          <w:b/>
          <w:sz w:val="28"/>
          <w:szCs w:val="28"/>
          <w:highlight w:val="none"/>
        </w:rPr>
      </w:pPr>
      <w:r>
        <w:rPr>
          <w:rFonts w:ascii="Times New Roman" w:hAnsi="Times New Roman" w:eastAsia="方正仿宋_GBK" w:cs="Times New Roman"/>
          <w:b/>
          <w:sz w:val="28"/>
          <w:szCs w:val="28"/>
          <w:highlight w:val="none"/>
        </w:rPr>
        <w:t>三、服务部分</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（一）服务响应偏离表</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（二）其它优惠服务承诺（格式自定）</w:t>
      </w:r>
    </w:p>
    <w:p>
      <w:pPr>
        <w:spacing w:line="400" w:lineRule="exact"/>
        <w:ind w:firstLine="562" w:firstLineChars="200"/>
        <w:rPr>
          <w:rFonts w:hint="eastAsia" w:ascii="Times New Roman" w:hAnsi="Times New Roman" w:eastAsia="方正仿宋_GBK" w:cs="Times New Roman"/>
          <w:b/>
          <w:sz w:val="28"/>
          <w:szCs w:val="28"/>
          <w:highlight w:val="none"/>
          <w:lang w:val="en-US" w:eastAsia="zh-CN"/>
        </w:rPr>
      </w:pPr>
      <w:r>
        <w:rPr>
          <w:rFonts w:ascii="Times New Roman" w:hAnsi="Times New Roman" w:eastAsia="方正仿宋_GBK" w:cs="Times New Roman"/>
          <w:b/>
          <w:sz w:val="28"/>
          <w:szCs w:val="28"/>
          <w:highlight w:val="none"/>
        </w:rPr>
        <w:t>四、资格</w:t>
      </w:r>
      <w:r>
        <w:rPr>
          <w:rFonts w:hint="eastAsia" w:ascii="Times New Roman" w:hAnsi="Times New Roman" w:eastAsia="方正仿宋_GBK" w:cs="Times New Roman"/>
          <w:b/>
          <w:sz w:val="28"/>
          <w:szCs w:val="28"/>
          <w:highlight w:val="none"/>
          <w:lang w:val="en-US" w:eastAsia="zh-CN"/>
        </w:rPr>
        <w:t>文件</w:t>
      </w:r>
    </w:p>
    <w:p>
      <w:pPr>
        <w:snapToGrid w:val="0"/>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（一）法人营业执照（副本）或事业单位法人证书（副本）或个体工商户营业执照或有效的自然人身份证明或社会团体法人登记证书</w:t>
      </w:r>
    </w:p>
    <w:p>
      <w:pPr>
        <w:snapToGrid w:val="0"/>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（二）法定代表人身份证明书（格式）</w:t>
      </w:r>
    </w:p>
    <w:p>
      <w:pPr>
        <w:snapToGrid w:val="0"/>
        <w:spacing w:line="400" w:lineRule="exact"/>
        <w:ind w:firstLine="560" w:firstLineChars="200"/>
        <w:rPr>
          <w:rFonts w:ascii="Times New Roman" w:hAnsi="Times New Roman" w:eastAsia="方正仿宋_GBK" w:cs="Times New Roman"/>
          <w:b w:val="0"/>
          <w:bCs w:val="0"/>
          <w:sz w:val="28"/>
          <w:szCs w:val="28"/>
          <w:highlight w:val="none"/>
        </w:rPr>
      </w:pPr>
      <w:r>
        <w:rPr>
          <w:rFonts w:ascii="Times New Roman" w:hAnsi="Times New Roman" w:eastAsia="方正仿宋_GBK" w:cs="Times New Roman"/>
          <w:b w:val="0"/>
          <w:bCs w:val="0"/>
          <w:sz w:val="28"/>
          <w:szCs w:val="28"/>
          <w:highlight w:val="none"/>
        </w:rPr>
        <w:t>（三）法定代表人授权委托书（格式）</w:t>
      </w:r>
    </w:p>
    <w:p>
      <w:pPr>
        <w:snapToGrid w:val="0"/>
        <w:spacing w:line="400" w:lineRule="exact"/>
        <w:ind w:firstLine="560" w:firstLineChars="200"/>
        <w:rPr>
          <w:rFonts w:ascii="Times New Roman" w:hAnsi="Times New Roman" w:eastAsia="方正仿宋_GBK" w:cs="Times New Roman"/>
          <w:b w:val="0"/>
          <w:bCs w:val="0"/>
          <w:sz w:val="28"/>
          <w:szCs w:val="28"/>
          <w:highlight w:val="none"/>
        </w:rPr>
      </w:pPr>
      <w:r>
        <w:rPr>
          <w:rFonts w:ascii="Times New Roman" w:hAnsi="Times New Roman" w:eastAsia="方正仿宋_GBK" w:cs="Times New Roman"/>
          <w:b w:val="0"/>
          <w:bCs w:val="0"/>
          <w:sz w:val="28"/>
          <w:szCs w:val="28"/>
          <w:highlight w:val="none"/>
        </w:rPr>
        <w:t>（四）基本资格条件承诺函（格式）</w:t>
      </w:r>
    </w:p>
    <w:p>
      <w:pPr>
        <w:spacing w:line="400" w:lineRule="exact"/>
        <w:ind w:firstLine="560" w:firstLineChars="200"/>
        <w:rPr>
          <w:rFonts w:ascii="Times New Roman" w:hAnsi="Times New Roman" w:eastAsia="方正仿宋_GBK" w:cs="Times New Roman"/>
          <w:b w:val="0"/>
          <w:bCs w:val="0"/>
          <w:sz w:val="28"/>
          <w:szCs w:val="28"/>
          <w:highlight w:val="none"/>
        </w:rPr>
      </w:pPr>
      <w:r>
        <w:rPr>
          <w:rFonts w:ascii="Times New Roman" w:hAnsi="Times New Roman" w:eastAsia="方正仿宋_GBK" w:cs="Times New Roman"/>
          <w:b w:val="0"/>
          <w:bCs w:val="0"/>
          <w:sz w:val="28"/>
          <w:szCs w:val="28"/>
          <w:highlight w:val="none"/>
        </w:rPr>
        <w:t>（五）</w:t>
      </w:r>
      <w:r>
        <w:rPr>
          <w:rFonts w:hint="eastAsia" w:ascii="方正仿宋_GBK" w:hAnsi="方正仿宋_GBK" w:eastAsia="方正仿宋_GBK" w:cs="方正仿宋_GBK"/>
          <w:sz w:val="28"/>
          <w:szCs w:val="28"/>
          <w:highlight w:val="none"/>
        </w:rPr>
        <w:t>特定资格条件证书或证明文件</w:t>
      </w:r>
      <w:r>
        <w:rPr>
          <w:rFonts w:hint="eastAsia" w:ascii="Times New Roman" w:hAnsi="Times New Roman" w:eastAsia="方正仿宋_GBK" w:cs="Times New Roman"/>
          <w:b w:val="0"/>
          <w:bCs w:val="0"/>
          <w:sz w:val="28"/>
          <w:szCs w:val="28"/>
          <w:highlight w:val="none"/>
        </w:rPr>
        <w:t>（如果有）</w:t>
      </w:r>
    </w:p>
    <w:p>
      <w:pPr>
        <w:spacing w:line="400" w:lineRule="exact"/>
        <w:ind w:firstLine="560" w:firstLineChars="200"/>
        <w:rPr>
          <w:rFonts w:hint="eastAsia" w:ascii="Times New Roman" w:hAnsi="Times New Roman" w:eastAsia="方正仿宋_GBK" w:cs="Times New Roman"/>
          <w:b w:val="0"/>
          <w:bCs w:val="0"/>
          <w:sz w:val="28"/>
          <w:szCs w:val="28"/>
          <w:highlight w:val="none"/>
        </w:rPr>
      </w:pPr>
      <w:r>
        <w:rPr>
          <w:rFonts w:hint="eastAsia" w:ascii="Times New Roman" w:hAnsi="Times New Roman" w:eastAsia="方正仿宋_GBK" w:cs="Times New Roman"/>
          <w:b w:val="0"/>
          <w:bCs w:val="0"/>
          <w:sz w:val="28"/>
          <w:szCs w:val="28"/>
          <w:highlight w:val="none"/>
        </w:rPr>
        <w:t>（六）落实政府采购政策需满足的资格要求（如果有）</w:t>
      </w:r>
    </w:p>
    <w:p>
      <w:pPr>
        <w:spacing w:line="400" w:lineRule="exact"/>
        <w:ind w:firstLine="562" w:firstLineChars="200"/>
        <w:rPr>
          <w:rFonts w:ascii="Times New Roman" w:hAnsi="Times New Roman" w:eastAsia="方正仿宋_GBK" w:cs="Times New Roman"/>
          <w:b/>
          <w:bCs w:val="0"/>
          <w:sz w:val="28"/>
          <w:szCs w:val="28"/>
          <w:highlight w:val="none"/>
        </w:rPr>
      </w:pPr>
      <w:bookmarkStart w:id="179" w:name="_Toc108191292"/>
      <w:bookmarkStart w:id="180" w:name="_Toc22956"/>
      <w:r>
        <w:rPr>
          <w:rFonts w:hint="eastAsia" w:ascii="Times New Roman" w:hAnsi="Times New Roman" w:eastAsia="方正仿宋_GBK" w:cs="Times New Roman"/>
          <w:b/>
          <w:bCs w:val="0"/>
          <w:sz w:val="28"/>
          <w:szCs w:val="28"/>
          <w:highlight w:val="none"/>
        </w:rPr>
        <w:t>五</w:t>
      </w:r>
      <w:r>
        <w:rPr>
          <w:rFonts w:ascii="Times New Roman" w:hAnsi="Times New Roman" w:eastAsia="方正仿宋_GBK" w:cs="Times New Roman"/>
          <w:b/>
          <w:bCs w:val="0"/>
          <w:sz w:val="28"/>
          <w:szCs w:val="28"/>
          <w:highlight w:val="none"/>
        </w:rPr>
        <w:t>、其他</w:t>
      </w:r>
      <w:bookmarkEnd w:id="179"/>
      <w:bookmarkEnd w:id="180"/>
    </w:p>
    <w:p>
      <w:pPr>
        <w:spacing w:line="400" w:lineRule="exact"/>
        <w:ind w:firstLine="560" w:firstLineChars="200"/>
        <w:rPr>
          <w:rFonts w:ascii="Times New Roman" w:hAnsi="Times New Roman" w:eastAsia="方正仿宋_GBK" w:cs="Times New Roman"/>
          <w:b w:val="0"/>
          <w:bCs/>
          <w:sz w:val="28"/>
          <w:szCs w:val="28"/>
          <w:highlight w:val="none"/>
        </w:rPr>
      </w:pPr>
      <w:r>
        <w:rPr>
          <w:rFonts w:hint="eastAsia" w:ascii="Times New Roman" w:hAnsi="Times New Roman" w:eastAsia="方正仿宋_GBK" w:cs="Times New Roman"/>
          <w:b w:val="0"/>
          <w:bCs/>
          <w:sz w:val="28"/>
          <w:szCs w:val="28"/>
          <w:highlight w:val="none"/>
        </w:rPr>
        <w:t>（一）中小企业声明函、监狱企业证明文件、残疾人福利性单位声明函</w:t>
      </w:r>
    </w:p>
    <w:p>
      <w:pPr>
        <w:snapToGrid w:val="0"/>
        <w:spacing w:line="400" w:lineRule="exact"/>
        <w:ind w:firstLine="560" w:firstLineChars="200"/>
        <w:rPr>
          <w:rFonts w:hint="default" w:ascii="方正仿宋_GBK" w:hAnsi="宋体" w:eastAsia="方正仿宋_GBK"/>
          <w:sz w:val="28"/>
          <w:szCs w:val="28"/>
          <w:lang w:val="en-US" w:eastAsia="zh-CN"/>
        </w:rPr>
      </w:pP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二</w:t>
      </w: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报名回执（格式）</w:t>
      </w:r>
    </w:p>
    <w:p>
      <w:pPr>
        <w:tabs>
          <w:tab w:val="left" w:pos="6300"/>
        </w:tabs>
        <w:ind w:firstLine="560" w:firstLineChars="200"/>
        <w:rPr>
          <w:rFonts w:hint="eastAsia" w:ascii="方正仿宋_GBK" w:hAnsi="方正仿宋_GBK" w:eastAsia="方正仿宋_GBK" w:cs="方正仿宋_GBK"/>
          <w:snapToGrid w:val="0"/>
          <w:kern w:val="0"/>
          <w:sz w:val="28"/>
          <w:szCs w:val="28"/>
        </w:rPr>
      </w:pP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三</w:t>
      </w:r>
      <w:r>
        <w:rPr>
          <w:rFonts w:hint="eastAsia" w:ascii="方正仿宋_GBK" w:hAnsi="宋体" w:eastAsia="方正仿宋_GBK"/>
          <w:sz w:val="28"/>
          <w:szCs w:val="28"/>
        </w:rPr>
        <w:t>）</w:t>
      </w:r>
      <w:r>
        <w:rPr>
          <w:rFonts w:hint="eastAsia" w:ascii="方正仿宋_GBK" w:hAnsi="方正仿宋_GBK" w:eastAsia="方正仿宋_GBK" w:cs="方正仿宋_GBK"/>
          <w:snapToGrid w:val="0"/>
          <w:kern w:val="0"/>
          <w:sz w:val="28"/>
          <w:szCs w:val="28"/>
        </w:rPr>
        <w:t>其他与项目有关的资料（自附）</w:t>
      </w:r>
    </w:p>
    <w:p>
      <w:pPr>
        <w:spacing w:line="400" w:lineRule="exact"/>
        <w:ind w:firstLine="480" w:firstLineChars="200"/>
        <w:rPr>
          <w:rFonts w:ascii="Times New Roman" w:hAnsi="Times New Roman" w:cs="Times New Roman"/>
          <w:sz w:val="24"/>
          <w:highlight w:val="none"/>
          <w:bdr w:val="single" w:color="auto" w:sz="4" w:space="0"/>
        </w:rPr>
        <w:sectPr>
          <w:pgSz w:w="11907" w:h="16840"/>
          <w:pgMar w:top="1134" w:right="1191" w:bottom="1134" w:left="1304" w:header="851" w:footer="992" w:gutter="0"/>
          <w:cols w:space="720" w:num="1"/>
          <w:docGrid w:linePitch="380" w:charSpace="-5735"/>
        </w:sectPr>
      </w:pPr>
    </w:p>
    <w:p>
      <w:pPr>
        <w:pStyle w:val="4"/>
        <w:adjustRightInd w:val="0"/>
        <w:snapToGrid w:val="0"/>
        <w:spacing w:before="0" w:after="0" w:line="400" w:lineRule="exact"/>
        <w:ind w:firstLine="562" w:firstLineChars="200"/>
        <w:rPr>
          <w:rFonts w:hint="eastAsia" w:ascii="方正仿宋_GBK" w:hAnsi="方正仿宋_GBK" w:eastAsia="方正仿宋_GBK" w:cs="方正仿宋_GBK"/>
          <w:sz w:val="28"/>
          <w:szCs w:val="28"/>
          <w:highlight w:val="none"/>
        </w:rPr>
      </w:pPr>
      <w:bookmarkStart w:id="181" w:name="_Toc31428"/>
      <w:bookmarkStart w:id="182" w:name="_Toc26343"/>
      <w:bookmarkStart w:id="183" w:name="_Toc14244"/>
      <w:bookmarkStart w:id="184" w:name="_Toc313008356"/>
      <w:bookmarkStart w:id="185" w:name="_Toc342913419"/>
      <w:bookmarkStart w:id="186" w:name="_Toc1097"/>
      <w:bookmarkStart w:id="187" w:name="_Toc65660379"/>
      <w:bookmarkStart w:id="188" w:name="_Toc313888360"/>
      <w:bookmarkStart w:id="189" w:name="_Toc12789073"/>
      <w:bookmarkStart w:id="190" w:name="_Toc283382454"/>
      <w:r>
        <w:rPr>
          <w:rFonts w:hint="eastAsia" w:ascii="方正仿宋_GBK" w:hAnsi="方正仿宋_GBK" w:eastAsia="方正仿宋_GBK" w:cs="方正仿宋_GBK"/>
          <w:sz w:val="28"/>
          <w:szCs w:val="28"/>
          <w:highlight w:val="none"/>
        </w:rPr>
        <w:t>一、经济部分</w:t>
      </w:r>
      <w:bookmarkEnd w:id="181"/>
      <w:bookmarkEnd w:id="182"/>
      <w:bookmarkEnd w:id="183"/>
      <w:bookmarkEnd w:id="184"/>
      <w:bookmarkEnd w:id="185"/>
      <w:bookmarkEnd w:id="186"/>
      <w:bookmarkEnd w:id="187"/>
      <w:bookmarkEnd w:id="188"/>
    </w:p>
    <w:bookmarkEnd w:id="189"/>
    <w:bookmarkEnd w:id="190"/>
    <w:p>
      <w:pPr>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（一）竞争性报价函</w:t>
      </w:r>
    </w:p>
    <w:p>
      <w:pPr>
        <w:tabs>
          <w:tab w:val="left" w:pos="6300"/>
        </w:tabs>
        <w:snapToGrid w:val="0"/>
        <w:spacing w:line="312" w:lineRule="auto"/>
        <w:ind w:firstLine="643" w:firstLineChars="200"/>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竞争性报价函</w:t>
      </w:r>
    </w:p>
    <w:p>
      <w:pPr>
        <w:tabs>
          <w:tab w:val="left" w:pos="6300"/>
        </w:tabs>
        <w:snapToGrid w:val="0"/>
        <w:spacing w:line="312"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（采购人名称）</w:t>
      </w:r>
      <w:r>
        <w:rPr>
          <w:rFonts w:hint="eastAsia" w:ascii="方正仿宋_GBK" w:hAnsi="方正仿宋_GBK" w:eastAsia="方正仿宋_GBK" w:cs="方正仿宋_GBK"/>
          <w:sz w:val="28"/>
          <w:szCs w:val="28"/>
          <w:highlight w:val="none"/>
        </w:rPr>
        <w:t>：</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我方收到____________________________（谈判项目名称）的竞争性谈判文件，经详细研究，决定参加该谈判项目的竞争谈判。</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1.愿意按照竞争性谈判文件中的一切要求，提供本项目的交货及技术服务，项目初始报价（总价）为人民币大写：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元整；人民币小写：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元。以我公司最后报价为准。</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rPr>
        <w:t>我方现提交的响应文件为：响应文件正本</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份，副本</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份，电子文档</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份。</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3.我方承诺：本次谈判的有效期为提交响应文件截止时间起</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天。</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4.我方完全理解和接受贵方竞争性谈判文件的一切规定和要求及谈判评审办法。</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5.在整个竞争性谈判过程中，我方若有违规行为，接受按照相关法律法规和《竞争性谈判文件》之规定给予惩罚。</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7.我方未为采购项目提供整体设计、规范编制或者项目管理、施工、监理、检测等服务。</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供应商（公章）或自然人签署：</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地址：  </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电话：                           传真：</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网址：                           邮编：</w:t>
      </w:r>
    </w:p>
    <w:p>
      <w:pPr>
        <w:tabs>
          <w:tab w:val="left" w:pos="6300"/>
        </w:tabs>
        <w:snapToGrid w:val="0"/>
        <w:spacing w:line="312" w:lineRule="auto"/>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联系人：</w:t>
      </w:r>
    </w:p>
    <w:p>
      <w:pPr>
        <w:snapToGrid w:val="0"/>
        <w:spacing w:line="312" w:lineRule="auto"/>
        <w:ind w:firstLine="560" w:firstLineChars="200"/>
        <w:rPr>
          <w:rFonts w:hint="eastAsia" w:ascii="方正仿宋_GBK" w:hAnsi="方正仿宋_GBK" w:eastAsia="方正仿宋_GBK" w:cs="方正仿宋_GBK"/>
          <w:sz w:val="28"/>
          <w:szCs w:val="28"/>
          <w:highlight w:val="none"/>
        </w:rPr>
        <w:sectPr>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8"/>
          <w:szCs w:val="28"/>
          <w:highlight w:val="none"/>
        </w:rPr>
        <w:t xml:space="preserve">                               年   月   日</w:t>
      </w:r>
    </w:p>
    <w:p>
      <w:pPr>
        <w:pStyle w:val="4"/>
        <w:numPr>
          <w:ilvl w:val="0"/>
          <w:numId w:val="3"/>
        </w:numPr>
        <w:adjustRightInd w:val="0"/>
        <w:snapToGrid w:val="0"/>
        <w:spacing w:before="0" w:after="0" w:line="400" w:lineRule="exact"/>
        <w:ind w:firstLine="562" w:firstLineChars="200"/>
        <w:rPr>
          <w:rFonts w:ascii="Times New Roman" w:hAnsi="Times New Roman" w:eastAsia="方正仿宋_GBK" w:cs="Times New Roman"/>
          <w:sz w:val="28"/>
          <w:szCs w:val="28"/>
          <w:highlight w:val="none"/>
        </w:rPr>
      </w:pPr>
      <w:bookmarkStart w:id="191" w:name="_Toc14073"/>
      <w:bookmarkStart w:id="192" w:name="_Toc342913420"/>
      <w:bookmarkStart w:id="193" w:name="_Toc21194"/>
      <w:bookmarkStart w:id="194" w:name="_Toc65660380"/>
      <w:bookmarkStart w:id="195" w:name="_Toc313888361"/>
      <w:bookmarkStart w:id="196" w:name="_Toc22655"/>
      <w:bookmarkStart w:id="197" w:name="_Toc27683"/>
      <w:bookmarkStart w:id="198" w:name="_Toc313008357"/>
      <w:r>
        <w:rPr>
          <w:rFonts w:ascii="Times New Roman" w:hAnsi="Times New Roman" w:eastAsia="方正仿宋_GBK" w:cs="Times New Roman"/>
          <w:sz w:val="28"/>
          <w:szCs w:val="28"/>
          <w:highlight w:val="none"/>
        </w:rPr>
        <w:t>技术（质量）部分</w:t>
      </w:r>
      <w:bookmarkEnd w:id="191"/>
      <w:bookmarkEnd w:id="192"/>
      <w:bookmarkEnd w:id="193"/>
      <w:bookmarkEnd w:id="194"/>
      <w:bookmarkEnd w:id="195"/>
      <w:bookmarkEnd w:id="196"/>
      <w:bookmarkEnd w:id="197"/>
      <w:bookmarkEnd w:id="198"/>
    </w:p>
    <w:p>
      <w:pPr>
        <w:pStyle w:val="4"/>
        <w:numPr>
          <w:ilvl w:val="0"/>
          <w:numId w:val="0"/>
        </w:numPr>
        <w:adjustRightInd w:val="0"/>
        <w:snapToGrid w:val="0"/>
        <w:spacing w:before="0" w:after="0"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b w:val="0"/>
          <w:bCs/>
          <w:sz w:val="28"/>
          <w:szCs w:val="28"/>
          <w:highlight w:val="none"/>
        </w:rPr>
        <w:t>（一）技术（质量）响应偏离表</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项目号：                               </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谈判项目名称：</w:t>
      </w:r>
    </w:p>
    <w:tbl>
      <w:tblPr>
        <w:tblStyle w:val="1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b/>
                <w:szCs w:val="21"/>
                <w:highlight w:val="none"/>
              </w:rPr>
            </w:pPr>
            <w:r>
              <w:rPr>
                <w:rFonts w:ascii="Times New Roman" w:hAnsi="Times New Roman" w:eastAsia="方正仿宋_GBK" w:cs="Times New Roman"/>
                <w:b/>
                <w:szCs w:val="21"/>
                <w:highlight w:val="none"/>
              </w:rPr>
              <w:t>序号</w:t>
            </w:r>
          </w:p>
        </w:tc>
        <w:tc>
          <w:tcPr>
            <w:tcW w:w="2844" w:type="dxa"/>
            <w:vAlign w:val="center"/>
          </w:tcPr>
          <w:p>
            <w:pPr>
              <w:tabs>
                <w:tab w:val="left" w:pos="6300"/>
              </w:tabs>
              <w:snapToGrid w:val="0"/>
              <w:jc w:val="center"/>
              <w:outlineLvl w:val="0"/>
              <w:rPr>
                <w:rFonts w:ascii="Times New Roman" w:hAnsi="Times New Roman" w:eastAsia="方正仿宋_GBK" w:cs="Times New Roman"/>
                <w:b/>
                <w:szCs w:val="21"/>
                <w:highlight w:val="none"/>
              </w:rPr>
            </w:pPr>
            <w:r>
              <w:rPr>
                <w:rFonts w:ascii="Times New Roman" w:hAnsi="Times New Roman" w:eastAsia="方正仿宋_GBK" w:cs="Times New Roman"/>
                <w:b/>
                <w:szCs w:val="21"/>
                <w:highlight w:val="none"/>
              </w:rPr>
              <w:t>采购需求</w:t>
            </w:r>
          </w:p>
        </w:tc>
        <w:tc>
          <w:tcPr>
            <w:tcW w:w="2952" w:type="dxa"/>
            <w:vAlign w:val="center"/>
          </w:tcPr>
          <w:p>
            <w:pPr>
              <w:tabs>
                <w:tab w:val="left" w:pos="6300"/>
              </w:tabs>
              <w:snapToGrid w:val="0"/>
              <w:jc w:val="center"/>
              <w:outlineLvl w:val="0"/>
              <w:rPr>
                <w:rFonts w:ascii="Times New Roman" w:hAnsi="Times New Roman" w:eastAsia="方正仿宋_GBK" w:cs="Times New Roman"/>
                <w:b/>
                <w:szCs w:val="21"/>
                <w:highlight w:val="none"/>
              </w:rPr>
            </w:pPr>
            <w:r>
              <w:rPr>
                <w:rFonts w:ascii="Times New Roman" w:hAnsi="Times New Roman" w:eastAsia="方正仿宋_GBK" w:cs="Times New Roman"/>
                <w:b/>
                <w:szCs w:val="21"/>
                <w:highlight w:val="none"/>
              </w:rPr>
              <w:t>响应情况</w:t>
            </w:r>
          </w:p>
        </w:tc>
        <w:tc>
          <w:tcPr>
            <w:tcW w:w="2212" w:type="dxa"/>
            <w:vAlign w:val="center"/>
          </w:tcPr>
          <w:p>
            <w:pPr>
              <w:tabs>
                <w:tab w:val="left" w:pos="6300"/>
              </w:tabs>
              <w:snapToGrid w:val="0"/>
              <w:jc w:val="center"/>
              <w:outlineLvl w:val="0"/>
              <w:rPr>
                <w:rFonts w:ascii="Times New Roman" w:hAnsi="Times New Roman" w:eastAsia="方正仿宋_GBK" w:cs="Times New Roman"/>
                <w:b/>
                <w:szCs w:val="21"/>
                <w:highlight w:val="none"/>
              </w:rPr>
            </w:pPr>
            <w:r>
              <w:rPr>
                <w:rFonts w:ascii="Times New Roman" w:hAnsi="Times New Roman" w:eastAsia="方正仿宋_GBK" w:cs="Times New Roman"/>
                <w:b/>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highlight w:val="none"/>
              </w:rPr>
            </w:pPr>
          </w:p>
        </w:tc>
      </w:tr>
    </w:tbl>
    <w:p>
      <w:pPr>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             法定代表人（或其授权代表）或自然人：</w:t>
      </w:r>
    </w:p>
    <w:p>
      <w:pPr>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                             （签署或盖章）</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tabs>
          <w:tab w:val="left" w:pos="6300"/>
        </w:tabs>
        <w:snapToGrid w:val="0"/>
        <w:spacing w:line="500" w:lineRule="exact"/>
        <w:ind w:firstLine="5796" w:firstLineChars="20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w:t>
      </w:r>
    </w:p>
    <w:p>
      <w:pPr>
        <w:tabs>
          <w:tab w:val="left" w:pos="6300"/>
        </w:tabs>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w:t>
      </w:r>
    </w:p>
    <w:p>
      <w:pPr>
        <w:tabs>
          <w:tab w:val="left" w:pos="6300"/>
        </w:tabs>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1.本表即为对本项目“第二篇  谈判项目技术（质量）需求”中所列条款进行比较和响应；</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2.本表可扩展。</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3.应注明技术参数或具体内容以及响应文件中技术参数或具体内容的位置（页码）。</w:t>
      </w:r>
    </w:p>
    <w:p>
      <w:pPr>
        <w:tabs>
          <w:tab w:val="left" w:pos="6300"/>
        </w:tabs>
        <w:snapToGrid w:val="0"/>
        <w:spacing w:line="500" w:lineRule="exact"/>
        <w:ind w:firstLine="480" w:firstLineChars="200"/>
        <w:rPr>
          <w:rFonts w:hint="eastAsia" w:ascii="方正仿宋_GBK" w:hAnsi="方正仿宋_GBK" w:eastAsia="方正仿宋_GBK" w:cs="方正仿宋_GBK"/>
          <w:sz w:val="28"/>
          <w:szCs w:val="28"/>
          <w:highlight w:val="none"/>
        </w:rPr>
      </w:pPr>
      <w:r>
        <w:rPr>
          <w:rFonts w:ascii="Times New Roman" w:hAnsi="Times New Roman" w:eastAsia="方正仿宋_GBK" w:cs="Times New Roman"/>
          <w:sz w:val="24"/>
          <w:highlight w:val="none"/>
        </w:rPr>
        <w:br w:type="page"/>
      </w:r>
      <w:r>
        <w:rPr>
          <w:rFonts w:hint="eastAsia" w:ascii="方正仿宋_GBK" w:hAnsi="方正仿宋_GBK" w:eastAsia="方正仿宋_GBK" w:cs="方正仿宋_GBK"/>
          <w:sz w:val="28"/>
          <w:szCs w:val="28"/>
          <w:highlight w:val="none"/>
        </w:rPr>
        <w:t>（二）其他资料（格式自定）</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p>
    <w:p>
      <w:pPr>
        <w:keepNext/>
        <w:keepLines/>
        <w:adjustRightInd w:val="0"/>
        <w:snapToGrid w:val="0"/>
        <w:spacing w:line="400" w:lineRule="exact"/>
        <w:ind w:firstLine="560" w:firstLineChars="200"/>
        <w:rPr>
          <w:rFonts w:hint="eastAsia" w:ascii="方正仿宋_GBK" w:hAnsi="方正仿宋_GBK" w:eastAsia="方正仿宋_GBK" w:cs="方正仿宋_GBK"/>
          <w:bCs/>
          <w:sz w:val="28"/>
          <w:szCs w:val="28"/>
          <w:highlight w:val="none"/>
        </w:rPr>
      </w:pPr>
      <w:bookmarkStart w:id="199" w:name="_Toc29983"/>
      <w:bookmarkStart w:id="200" w:name="_Toc20635"/>
      <w:bookmarkStart w:id="201" w:name="_Toc3424"/>
      <w:bookmarkStart w:id="202" w:name="_Toc10010"/>
      <w:r>
        <w:rPr>
          <w:rFonts w:hint="eastAsia" w:ascii="方正仿宋_GBK" w:hAnsi="方正仿宋_GBK" w:eastAsia="方正仿宋_GBK" w:cs="方正仿宋_GBK"/>
          <w:bCs/>
          <w:sz w:val="28"/>
          <w:szCs w:val="28"/>
          <w:highlight w:val="none"/>
        </w:rPr>
        <w:t>满足“第二篇  谈判项目技术（质量）需求”的证明资料。</w:t>
      </w:r>
      <w:bookmarkEnd w:id="199"/>
      <w:bookmarkEnd w:id="200"/>
    </w:p>
    <w:p>
      <w:pPr>
        <w:rPr>
          <w:rFonts w:hint="eastAsia" w:ascii="方正仿宋_GBK" w:hAnsi="方正仿宋_GBK" w:eastAsia="方正仿宋_GBK" w:cs="方正仿宋_GBK"/>
          <w:sz w:val="28"/>
          <w:szCs w:val="28"/>
          <w:highlight w:val="none"/>
        </w:rPr>
      </w:pPr>
    </w:p>
    <w:p>
      <w:pPr>
        <w:rPr>
          <w:rFonts w:hint="eastAsia" w:ascii="方正仿宋_GBK" w:hAnsi="方正仿宋_GBK" w:eastAsia="方正仿宋_GBK" w:cs="方正仿宋_GBK"/>
          <w:sz w:val="28"/>
          <w:szCs w:val="28"/>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rPr>
          <w:rFonts w:ascii="Times New Roman" w:hAnsi="Times New Roman" w:eastAsia="方正仿宋_GBK" w:cs="Times New Roman"/>
          <w:highlight w:val="none"/>
        </w:rPr>
      </w:pPr>
    </w:p>
    <w:p>
      <w:pPr>
        <w:jc w:val="left"/>
        <w:rPr>
          <w:rStyle w:val="23"/>
          <w:rFonts w:ascii="Times New Roman" w:hAnsi="Times New Roman" w:cs="Times New Roman"/>
          <w:highlight w:val="none"/>
        </w:rPr>
      </w:pPr>
      <w:bookmarkStart w:id="203" w:name="_Toc32339"/>
      <w:bookmarkStart w:id="204" w:name="_Toc32158"/>
      <w:bookmarkStart w:id="205" w:name="_Toc65660381"/>
      <w:bookmarkStart w:id="206" w:name="_Toc342913421"/>
      <w:bookmarkStart w:id="207" w:name="_Toc313008358"/>
      <w:bookmarkStart w:id="208" w:name="_Toc313888362"/>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highlight w:val="none"/>
        </w:rPr>
      </w:pPr>
      <w:bookmarkStart w:id="209" w:name="_Toc19297"/>
      <w:r>
        <w:rPr>
          <w:rFonts w:ascii="Times New Roman" w:hAnsi="Times New Roman" w:eastAsia="方正仿宋_GBK" w:cs="Times New Roman"/>
          <w:sz w:val="28"/>
          <w:szCs w:val="28"/>
          <w:highlight w:val="none"/>
        </w:rPr>
        <w:t>三、服务部分</w:t>
      </w:r>
      <w:bookmarkEnd w:id="201"/>
      <w:bookmarkEnd w:id="202"/>
      <w:bookmarkEnd w:id="203"/>
      <w:bookmarkEnd w:id="204"/>
      <w:bookmarkEnd w:id="205"/>
      <w:bookmarkEnd w:id="209"/>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（一）服务响应偏离表</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项目号：                               </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谈判项目名称：</w:t>
      </w:r>
    </w:p>
    <w:tbl>
      <w:tblPr>
        <w:tblStyle w:val="17"/>
        <w:tblW w:w="949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ascii="Times New Roman" w:hAnsi="Times New Roman" w:eastAsia="方正仿宋_GBK" w:cs="Times New Roman"/>
                <w:b/>
                <w:highlight w:val="none"/>
              </w:rPr>
            </w:pPr>
            <w:r>
              <w:rPr>
                <w:rFonts w:ascii="Times New Roman" w:hAnsi="Times New Roman" w:eastAsia="方正仿宋_GBK" w:cs="Times New Roman"/>
                <w:b/>
                <w:highlight w:val="none"/>
              </w:rPr>
              <w:t>序号</w:t>
            </w:r>
          </w:p>
        </w:tc>
        <w:tc>
          <w:tcPr>
            <w:tcW w:w="3184" w:type="dxa"/>
            <w:vAlign w:val="center"/>
          </w:tcPr>
          <w:p>
            <w:pPr>
              <w:tabs>
                <w:tab w:val="left" w:pos="6300"/>
              </w:tabs>
              <w:snapToGrid w:val="0"/>
              <w:jc w:val="center"/>
              <w:outlineLvl w:val="0"/>
              <w:rPr>
                <w:rFonts w:ascii="Times New Roman" w:hAnsi="Times New Roman" w:eastAsia="方正仿宋_GBK" w:cs="Times New Roman"/>
                <w:b/>
                <w:highlight w:val="none"/>
              </w:rPr>
            </w:pPr>
            <w:r>
              <w:rPr>
                <w:rFonts w:ascii="Times New Roman" w:hAnsi="Times New Roman" w:eastAsia="方正仿宋_GBK" w:cs="Times New Roman"/>
                <w:b/>
                <w:highlight w:val="none"/>
              </w:rPr>
              <w:t>采购需求</w:t>
            </w:r>
          </w:p>
        </w:tc>
        <w:tc>
          <w:tcPr>
            <w:tcW w:w="2438" w:type="dxa"/>
            <w:vAlign w:val="center"/>
          </w:tcPr>
          <w:p>
            <w:pPr>
              <w:tabs>
                <w:tab w:val="left" w:pos="6300"/>
              </w:tabs>
              <w:snapToGrid w:val="0"/>
              <w:jc w:val="center"/>
              <w:outlineLvl w:val="0"/>
              <w:rPr>
                <w:rFonts w:ascii="Times New Roman" w:hAnsi="Times New Roman" w:eastAsia="方正仿宋_GBK" w:cs="Times New Roman"/>
                <w:b/>
                <w:highlight w:val="none"/>
              </w:rPr>
            </w:pPr>
            <w:r>
              <w:rPr>
                <w:rFonts w:ascii="Times New Roman" w:hAnsi="Times New Roman" w:eastAsia="方正仿宋_GBK" w:cs="Times New Roman"/>
                <w:b/>
                <w:highlight w:val="none"/>
              </w:rPr>
              <w:t>响应情况</w:t>
            </w:r>
          </w:p>
        </w:tc>
        <w:tc>
          <w:tcPr>
            <w:tcW w:w="2359" w:type="dxa"/>
            <w:vAlign w:val="center"/>
          </w:tcPr>
          <w:p>
            <w:pPr>
              <w:tabs>
                <w:tab w:val="left" w:pos="6300"/>
              </w:tabs>
              <w:snapToGrid w:val="0"/>
              <w:jc w:val="center"/>
              <w:outlineLvl w:val="0"/>
              <w:rPr>
                <w:rFonts w:ascii="Times New Roman" w:hAnsi="Times New Roman" w:eastAsia="方正仿宋_GBK" w:cs="Times New Roman"/>
                <w:b/>
                <w:highlight w:val="none"/>
              </w:rPr>
            </w:pPr>
            <w:r>
              <w:rPr>
                <w:rFonts w:ascii="Times New Roman" w:hAnsi="Times New Roman" w:eastAsia="方正仿宋_GBK" w:cs="Times New Roman"/>
                <w:b/>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3184"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438" w:type="dxa"/>
            <w:vAlign w:val="center"/>
          </w:tcPr>
          <w:p>
            <w:pPr>
              <w:tabs>
                <w:tab w:val="left" w:pos="6300"/>
              </w:tabs>
              <w:snapToGrid w:val="0"/>
              <w:outlineLvl w:val="0"/>
              <w:rPr>
                <w:rFonts w:ascii="Times New Roman" w:hAnsi="Times New Roman" w:eastAsia="方正仿宋_GBK" w:cs="Times New Roman"/>
                <w:highlight w:val="none"/>
              </w:rPr>
            </w:pPr>
          </w:p>
        </w:tc>
        <w:tc>
          <w:tcPr>
            <w:tcW w:w="2359" w:type="dxa"/>
            <w:vAlign w:val="center"/>
          </w:tcPr>
          <w:p>
            <w:pPr>
              <w:tabs>
                <w:tab w:val="left" w:pos="6300"/>
              </w:tabs>
              <w:snapToGrid w:val="0"/>
              <w:jc w:val="center"/>
              <w:outlineLvl w:val="0"/>
              <w:rPr>
                <w:rFonts w:ascii="Times New Roman" w:hAnsi="Times New Roman" w:eastAsia="方正仿宋_GBK"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3184"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438"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359" w:type="dxa"/>
            <w:vAlign w:val="center"/>
          </w:tcPr>
          <w:p>
            <w:pPr>
              <w:tabs>
                <w:tab w:val="left" w:pos="6300"/>
              </w:tabs>
              <w:snapToGrid w:val="0"/>
              <w:jc w:val="center"/>
              <w:outlineLvl w:val="0"/>
              <w:rPr>
                <w:rFonts w:ascii="Times New Roman" w:hAnsi="Times New Roman" w:eastAsia="方正仿宋_GBK"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3184"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438"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359" w:type="dxa"/>
            <w:vAlign w:val="center"/>
          </w:tcPr>
          <w:p>
            <w:pPr>
              <w:tabs>
                <w:tab w:val="left" w:pos="6300"/>
              </w:tabs>
              <w:snapToGrid w:val="0"/>
              <w:jc w:val="center"/>
              <w:outlineLvl w:val="0"/>
              <w:rPr>
                <w:rFonts w:ascii="Times New Roman" w:hAnsi="Times New Roman" w:eastAsia="方正仿宋_GBK"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3184"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438" w:type="dxa"/>
            <w:vAlign w:val="center"/>
          </w:tcPr>
          <w:p>
            <w:pPr>
              <w:tabs>
                <w:tab w:val="left" w:pos="6300"/>
              </w:tabs>
              <w:snapToGrid w:val="0"/>
              <w:jc w:val="center"/>
              <w:outlineLvl w:val="0"/>
              <w:rPr>
                <w:rFonts w:ascii="Times New Roman" w:hAnsi="Times New Roman" w:eastAsia="方正仿宋_GBK" w:cs="Times New Roman"/>
                <w:highlight w:val="none"/>
              </w:rPr>
            </w:pPr>
          </w:p>
        </w:tc>
        <w:tc>
          <w:tcPr>
            <w:tcW w:w="2359" w:type="dxa"/>
            <w:vAlign w:val="center"/>
          </w:tcPr>
          <w:p>
            <w:pPr>
              <w:tabs>
                <w:tab w:val="left" w:pos="6300"/>
              </w:tabs>
              <w:snapToGrid w:val="0"/>
              <w:jc w:val="center"/>
              <w:outlineLvl w:val="0"/>
              <w:rPr>
                <w:rFonts w:ascii="Times New Roman" w:hAnsi="Times New Roman" w:eastAsia="方正仿宋_GBK" w:cs="Times New Roman"/>
                <w:highlight w:val="none"/>
              </w:rPr>
            </w:pPr>
          </w:p>
        </w:tc>
      </w:tr>
    </w:tbl>
    <w:p>
      <w:pPr>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                  法定代表人（或其授权代表）或自然人：（供应商公章）                            （签署或盖章）</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tabs>
          <w:tab w:val="left" w:pos="6300"/>
        </w:tabs>
        <w:snapToGrid w:val="0"/>
        <w:spacing w:line="500" w:lineRule="exact"/>
        <w:ind w:firstLine="5600" w:firstLineChars="20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w:t>
      </w:r>
    </w:p>
    <w:p>
      <w:pPr>
        <w:tabs>
          <w:tab w:val="left" w:pos="6300"/>
        </w:tabs>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w:t>
      </w:r>
    </w:p>
    <w:p>
      <w:pPr>
        <w:tabs>
          <w:tab w:val="left" w:pos="6300"/>
        </w:tabs>
        <w:snapToGrid w:val="0"/>
        <w:spacing w:line="4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1.本表即为对本项目“第三篇  谈判项目服务需求”中所列条款进行比较和响应；</w:t>
      </w:r>
    </w:p>
    <w:p>
      <w:pPr>
        <w:tabs>
          <w:tab w:val="left" w:pos="6300"/>
        </w:tabs>
        <w:snapToGrid w:val="0"/>
        <w:spacing w:line="4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2.本表可扩展。</w:t>
      </w:r>
    </w:p>
    <w:p>
      <w:pPr>
        <w:tabs>
          <w:tab w:val="left" w:pos="6300"/>
        </w:tabs>
        <w:snapToGrid w:val="0"/>
        <w:spacing w:line="4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3.应注明具体内容以及响应文件中具体内容的位置（页码）。</w:t>
      </w:r>
    </w:p>
    <w:p>
      <w:pPr>
        <w:tabs>
          <w:tab w:val="left" w:pos="6300"/>
        </w:tabs>
        <w:snapToGrid w:val="0"/>
        <w:spacing w:line="480" w:lineRule="exact"/>
        <w:ind w:firstLine="560" w:firstLineChars="200"/>
        <w:rPr>
          <w:rFonts w:ascii="Times New Roman" w:hAnsi="Times New Roman" w:eastAsia="方正仿宋_GBK" w:cs="Times New Roman"/>
          <w:sz w:val="28"/>
          <w:szCs w:val="28"/>
          <w:highlight w:val="none"/>
        </w:rPr>
      </w:pPr>
      <w:r>
        <w:rPr>
          <w:rFonts w:hint="eastAsia" w:ascii="方正仿宋_GBK" w:hAnsi="方正仿宋_GBK" w:eastAsia="方正仿宋_GBK" w:cs="方正仿宋_GBK"/>
          <w:sz w:val="28"/>
          <w:szCs w:val="28"/>
          <w:highlight w:val="none"/>
        </w:rPr>
        <w:br w:type="page"/>
      </w:r>
      <w:r>
        <w:rPr>
          <w:rFonts w:ascii="Times New Roman" w:hAnsi="Times New Roman" w:eastAsia="方正仿宋_GBK" w:cs="Times New Roman"/>
          <w:sz w:val="28"/>
          <w:szCs w:val="28"/>
          <w:highlight w:val="none"/>
        </w:rPr>
        <w:t>（二）其它优惠服务承诺（格式自定）</w:t>
      </w:r>
    </w:p>
    <w:p>
      <w:pPr>
        <w:tabs>
          <w:tab w:val="left" w:pos="6300"/>
        </w:tabs>
        <w:snapToGrid w:val="0"/>
        <w:spacing w:line="480" w:lineRule="exact"/>
        <w:ind w:firstLine="560" w:firstLineChars="200"/>
        <w:rPr>
          <w:rFonts w:ascii="Times New Roman" w:hAnsi="Times New Roman" w:eastAsia="方正仿宋_GBK" w:cs="Times New Roman"/>
          <w:sz w:val="28"/>
          <w:szCs w:val="28"/>
          <w:highlight w:val="none"/>
        </w:rPr>
      </w:pPr>
    </w:p>
    <w:p>
      <w:pPr>
        <w:pStyle w:val="4"/>
        <w:adjustRightInd w:val="0"/>
        <w:snapToGrid w:val="0"/>
        <w:spacing w:before="0" w:after="0" w:line="400" w:lineRule="exact"/>
        <w:ind w:firstLine="482" w:firstLineChars="200"/>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4"/>
          <w:highlight w:val="none"/>
        </w:rPr>
        <w:br w:type="page"/>
      </w:r>
      <w:bookmarkStart w:id="210" w:name="_Toc22368"/>
      <w:bookmarkStart w:id="211" w:name="_Toc2082"/>
      <w:bookmarkStart w:id="212" w:name="_Toc65660382"/>
      <w:bookmarkStart w:id="213" w:name="_Toc9604"/>
      <w:bookmarkStart w:id="214" w:name="_Toc20162"/>
      <w:r>
        <w:rPr>
          <w:rFonts w:ascii="Times New Roman" w:hAnsi="Times New Roman" w:eastAsia="方正仿宋_GBK" w:cs="Times New Roman"/>
          <w:sz w:val="28"/>
          <w:szCs w:val="28"/>
          <w:highlight w:val="none"/>
        </w:rPr>
        <w:t>四、</w:t>
      </w:r>
      <w:bookmarkEnd w:id="206"/>
      <w:bookmarkEnd w:id="207"/>
      <w:bookmarkEnd w:id="208"/>
      <w:r>
        <w:rPr>
          <w:rFonts w:ascii="Times New Roman" w:hAnsi="Times New Roman" w:eastAsia="方正仿宋_GBK" w:cs="Times New Roman"/>
          <w:sz w:val="28"/>
          <w:szCs w:val="28"/>
          <w:highlight w:val="none"/>
        </w:rPr>
        <w:t>资格</w:t>
      </w:r>
      <w:bookmarkEnd w:id="210"/>
      <w:bookmarkEnd w:id="211"/>
      <w:bookmarkEnd w:id="212"/>
      <w:bookmarkEnd w:id="213"/>
      <w:bookmarkEnd w:id="214"/>
      <w:bookmarkStart w:id="215" w:name="_Toc342913422"/>
      <w:bookmarkStart w:id="216" w:name="_Toc313008359"/>
      <w:bookmarkStart w:id="217" w:name="_Toc313888363"/>
      <w:r>
        <w:rPr>
          <w:rFonts w:hint="eastAsia" w:ascii="Times New Roman" w:hAnsi="Times New Roman" w:eastAsia="方正仿宋_GBK" w:cs="Times New Roman"/>
          <w:sz w:val="28"/>
          <w:szCs w:val="28"/>
          <w:highlight w:val="none"/>
          <w:lang w:val="en-US" w:eastAsia="zh-CN"/>
        </w:rPr>
        <w:t>文件</w:t>
      </w:r>
    </w:p>
    <w:p>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Times New Roman" w:hAnsi="Times New Roman" w:eastAsia="方正仿宋_GBK" w:cs="Times New Roman"/>
          <w:sz w:val="28"/>
          <w:szCs w:val="28"/>
          <w:highlight w:val="none"/>
        </w:rPr>
      </w:pPr>
    </w:p>
    <w:p>
      <w:pPr>
        <w:tabs>
          <w:tab w:val="left" w:pos="6300"/>
        </w:tabs>
        <w:snapToGrid w:val="0"/>
        <w:spacing w:line="500" w:lineRule="exact"/>
        <w:ind w:firstLine="570"/>
        <w:rPr>
          <w:rFonts w:ascii="Times New Roman" w:hAnsi="Times New Roman" w:eastAsia="方正仿宋_GBK" w:cs="Times New Roman"/>
          <w:highlight w:val="none"/>
        </w:rPr>
      </w:pPr>
    </w:p>
    <w:p>
      <w:pPr>
        <w:tabs>
          <w:tab w:val="left" w:pos="6300"/>
        </w:tabs>
        <w:snapToGrid w:val="0"/>
        <w:spacing w:line="500" w:lineRule="exact"/>
        <w:ind w:firstLine="570"/>
        <w:rPr>
          <w:rFonts w:ascii="Times New Roman" w:hAnsi="Times New Roman" w:eastAsia="方正仿宋_GBK" w:cs="Times New Roman"/>
          <w:highlight w:val="none"/>
        </w:rPr>
      </w:pPr>
    </w:p>
    <w:p>
      <w:pPr>
        <w:tabs>
          <w:tab w:val="left" w:pos="6300"/>
        </w:tabs>
        <w:snapToGrid w:val="0"/>
        <w:spacing w:line="500" w:lineRule="exact"/>
        <w:ind w:firstLine="570"/>
        <w:rPr>
          <w:rFonts w:ascii="Times New Roman" w:hAnsi="Times New Roman" w:eastAsia="方正仿宋_GBK" w:cs="Times New Roman"/>
          <w:highlight w:val="none"/>
        </w:rPr>
      </w:pPr>
    </w:p>
    <w:p>
      <w:pPr>
        <w:tabs>
          <w:tab w:val="left" w:pos="6300"/>
        </w:tabs>
        <w:snapToGrid w:val="0"/>
        <w:spacing w:line="500" w:lineRule="exact"/>
        <w:ind w:firstLine="570"/>
        <w:rPr>
          <w:rFonts w:ascii="Times New Roman" w:hAnsi="Times New Roman" w:eastAsia="方正仿宋_GBK" w:cs="Times New Roman"/>
          <w:highlight w:val="none"/>
        </w:rPr>
      </w:pPr>
    </w:p>
    <w:p>
      <w:pPr>
        <w:widowControl/>
        <w:spacing w:line="400" w:lineRule="exact"/>
        <w:ind w:firstLine="420" w:firstLineChars="200"/>
        <w:jc w:val="left"/>
        <w:rPr>
          <w:rFonts w:hint="eastAsia" w:ascii="方正仿宋_GBK" w:hAnsi="方正仿宋_GBK" w:eastAsia="方正仿宋_GBK" w:cs="方正仿宋_GBK"/>
          <w:sz w:val="28"/>
          <w:szCs w:val="28"/>
          <w:highlight w:val="none"/>
        </w:rPr>
      </w:pPr>
      <w:r>
        <w:rPr>
          <w:rFonts w:ascii="Times New Roman" w:hAnsi="Times New Roman" w:eastAsia="方正仿宋_GBK" w:cs="Times New Roman"/>
          <w:highlight w:val="none"/>
        </w:rPr>
        <w:br w:type="page"/>
      </w:r>
      <w:r>
        <w:rPr>
          <w:rFonts w:hint="eastAsia" w:ascii="方正仿宋_GBK" w:hAnsi="方正仿宋_GBK" w:eastAsia="方正仿宋_GBK" w:cs="方正仿宋_GBK"/>
          <w:sz w:val="28"/>
          <w:szCs w:val="28"/>
          <w:highlight w:val="none"/>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谈判项目名称：</w:t>
      </w:r>
      <w:r>
        <w:rPr>
          <w:rFonts w:hint="eastAsia" w:ascii="方正仿宋_GBK" w:hAnsi="方正仿宋_GBK" w:eastAsia="方正仿宋_GBK" w:cs="方正仿宋_GBK"/>
          <w:sz w:val="28"/>
          <w:szCs w:val="28"/>
          <w:highlight w:val="none"/>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（法定代表人姓名）在</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（供应商名称）任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（职务名称）职务，是（供应商名称）</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的法定代表人。</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特此证明。</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（供应商公章）</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年   月   日</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（附：法定代表人身份证正反面复印件）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tabs>
          <w:tab w:val="left" w:pos="6300"/>
        </w:tabs>
        <w:snapToGrid w:val="0"/>
        <w:spacing w:line="500" w:lineRule="exact"/>
        <w:ind w:firstLine="570"/>
        <w:rPr>
          <w:rFonts w:ascii="Times New Roman" w:hAnsi="Times New Roman" w:eastAsia="方正仿宋_GBK" w:cs="Times New Roman"/>
          <w:sz w:val="24"/>
          <w:highlight w:val="none"/>
        </w:rPr>
      </w:pPr>
    </w:p>
    <w:p>
      <w:pPr>
        <w:widowControl/>
        <w:spacing w:line="400" w:lineRule="exact"/>
        <w:ind w:firstLine="420" w:firstLineChars="200"/>
        <w:jc w:val="left"/>
        <w:rPr>
          <w:rFonts w:hint="eastAsia" w:ascii="方正仿宋_GBK" w:hAnsi="方正仿宋_GBK" w:eastAsia="方正仿宋_GBK" w:cs="方正仿宋_GBK"/>
          <w:sz w:val="28"/>
          <w:szCs w:val="28"/>
          <w:highlight w:val="none"/>
        </w:rPr>
      </w:pPr>
      <w:r>
        <w:rPr>
          <w:rFonts w:ascii="Times New Roman" w:hAnsi="Times New Roman" w:cs="Times New Roman"/>
          <w:highlight w:val="none"/>
        </w:rPr>
        <w:br w:type="column"/>
      </w:r>
      <w:r>
        <w:rPr>
          <w:rFonts w:hint="eastAsia" w:ascii="方正仿宋_GBK" w:hAnsi="方正仿宋_GBK" w:eastAsia="方正仿宋_GBK" w:cs="方正仿宋_GBK"/>
          <w:sz w:val="28"/>
          <w:szCs w:val="28"/>
          <w:highlight w:val="none"/>
        </w:rPr>
        <w:t>（三）法定代表人授权委托书（格式）</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谈判项目名称：</w:t>
      </w:r>
      <w:r>
        <w:rPr>
          <w:rFonts w:hint="eastAsia" w:ascii="方正仿宋_GBK" w:hAnsi="方正仿宋_GBK" w:eastAsia="方正仿宋_GBK" w:cs="方正仿宋_GBK"/>
          <w:sz w:val="28"/>
          <w:szCs w:val="28"/>
          <w:highlight w:val="none"/>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（供应商法定代表人名称）是</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（供应商名称）的法定代表人，特授权</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（被授权人姓名及身份证代码）代表我单位全权办理上述项目的谈判、签约等具体工作，并签署全部有关文件、协议及合同。</w:t>
      </w:r>
    </w:p>
    <w:p>
      <w:pPr>
        <w:tabs>
          <w:tab w:val="left" w:pos="6300"/>
        </w:tabs>
        <w:snapToGrid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我单位对被授权人的签署负全部责任。</w:t>
      </w:r>
    </w:p>
    <w:p>
      <w:pPr>
        <w:tabs>
          <w:tab w:val="left" w:pos="6300"/>
        </w:tabs>
        <w:snapToGrid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被授权人：                            供应商法定代表人：</w:t>
      </w:r>
    </w:p>
    <w:p>
      <w:pPr>
        <w:tabs>
          <w:tab w:val="left" w:pos="6300"/>
        </w:tabs>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p>
    <w:p>
      <w:pPr>
        <w:tabs>
          <w:tab w:val="left" w:pos="6300"/>
        </w:tabs>
        <w:snapToGrid w:val="0"/>
        <w:spacing w:line="500" w:lineRule="exact"/>
        <w:ind w:right="480" w:firstLine="57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w:t>
      </w:r>
    </w:p>
    <w:p>
      <w:pPr>
        <w:tabs>
          <w:tab w:val="left" w:pos="6300"/>
        </w:tabs>
        <w:snapToGrid w:val="0"/>
        <w:spacing w:line="500" w:lineRule="exact"/>
        <w:ind w:right="480" w:firstLine="57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年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 xml:space="preserve">  月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日</w:t>
      </w:r>
    </w:p>
    <w:p>
      <w:pPr>
        <w:tabs>
          <w:tab w:val="left" w:pos="6300"/>
        </w:tabs>
        <w:snapToGrid w:val="0"/>
        <w:spacing w:line="500" w:lineRule="exact"/>
        <w:ind w:right="480" w:firstLine="57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w:t>
      </w:r>
    </w:p>
    <w:p>
      <w:pPr>
        <w:tabs>
          <w:tab w:val="left" w:pos="6300"/>
        </w:tabs>
        <w:snapToGrid w:val="0"/>
        <w:spacing w:line="500" w:lineRule="exact"/>
        <w:ind w:right="480" w:firstLine="57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1.若为法定代表人办理并签署响应文件的，不提供此文件。</w:t>
      </w:r>
    </w:p>
    <w:p>
      <w:pPr>
        <w:tabs>
          <w:tab w:val="left" w:pos="6300"/>
        </w:tabs>
        <w:snapToGrid w:val="0"/>
        <w:spacing w:line="400" w:lineRule="exact"/>
        <w:ind w:firstLine="573"/>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2.若为联合体参与的，法定代表人授权委托书由联合体主办方</w:t>
      </w:r>
      <w:r>
        <w:rPr>
          <w:rFonts w:hint="eastAsia" w:ascii="方正仿宋_GBK" w:hAnsi="方正仿宋_GBK" w:eastAsia="方正仿宋_GBK" w:cs="方正仿宋_GBK"/>
          <w:kern w:val="0"/>
          <w:sz w:val="28"/>
          <w:szCs w:val="28"/>
          <w:highlight w:val="none"/>
        </w:rPr>
        <w:t>（主体）</w:t>
      </w:r>
      <w:r>
        <w:rPr>
          <w:rFonts w:hint="eastAsia" w:ascii="方正仿宋_GBK" w:hAnsi="方正仿宋_GBK" w:eastAsia="方正仿宋_GBK" w:cs="方正仿宋_GBK"/>
          <w:sz w:val="28"/>
          <w:szCs w:val="28"/>
          <w:highlight w:val="none"/>
        </w:rPr>
        <w:t>出具。</w:t>
      </w:r>
    </w:p>
    <w:p>
      <w:pPr>
        <w:widowControl/>
        <w:spacing w:line="400" w:lineRule="exact"/>
        <w:ind w:firstLine="420" w:firstLineChars="200"/>
        <w:jc w:val="left"/>
        <w:rPr>
          <w:rFonts w:hint="eastAsia" w:ascii="方正仿宋_GBK" w:hAnsi="方正仿宋_GBK" w:eastAsia="方正仿宋_GBK" w:cs="方正仿宋_GBK"/>
          <w:sz w:val="28"/>
          <w:szCs w:val="28"/>
          <w:highlight w:val="none"/>
        </w:rPr>
      </w:pPr>
      <w:r>
        <w:rPr>
          <w:rFonts w:ascii="Times New Roman" w:hAnsi="Times New Roman" w:cs="Times New Roman"/>
          <w:highlight w:val="none"/>
        </w:rPr>
        <w:br w:type="column"/>
      </w:r>
      <w:r>
        <w:rPr>
          <w:rFonts w:hint="eastAsia" w:ascii="方正仿宋_GBK" w:hAnsi="方正仿宋_GBK" w:eastAsia="方正仿宋_GBK" w:cs="方正仿宋_GBK"/>
          <w:sz w:val="28"/>
          <w:szCs w:val="28"/>
          <w:highlight w:val="none"/>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pPr>
        <w:tabs>
          <w:tab w:val="left" w:pos="6300"/>
        </w:tabs>
        <w:snapToGrid w:val="0"/>
        <w:spacing w:line="530" w:lineRule="exact"/>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（采购人名称）：</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（供应商名称）郑重承诺：</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8"/>
          <w:szCs w:val="28"/>
          <w:highlight w:val="none"/>
          <w:lang w:val="zh-CN"/>
        </w:rPr>
        <w:t>有依法缴纳税收和社会保障金的良好记录</w:t>
      </w:r>
      <w:r>
        <w:rPr>
          <w:rFonts w:hint="eastAsia" w:ascii="方正仿宋_GBK" w:hAnsi="方正仿宋_GBK" w:eastAsia="方正仿宋_GBK" w:cs="方正仿宋_GBK"/>
          <w:sz w:val="28"/>
          <w:szCs w:val="28"/>
          <w:highlight w:val="none"/>
        </w:rPr>
        <w:t>，参加本项目采购活动前三年内无重大违法活动记录。</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4.我方提供由信用中国（重庆）信用中国下载的信用报告，具体情况附后。</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我方对以上承诺负全部法律责任。</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特此承诺。</w:t>
      </w:r>
    </w:p>
    <w:p>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p>
    <w:p>
      <w:pPr>
        <w:tabs>
          <w:tab w:val="left" w:pos="6300"/>
        </w:tabs>
        <w:snapToGrid w:val="0"/>
        <w:spacing w:line="500" w:lineRule="exact"/>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w:t>
      </w:r>
    </w:p>
    <w:p>
      <w:pPr>
        <w:tabs>
          <w:tab w:val="left" w:pos="6300"/>
        </w:tabs>
        <w:snapToGrid w:val="0"/>
        <w:spacing w:line="500" w:lineRule="exact"/>
        <w:ind w:firstLine="560" w:firstLineChars="20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年   月   日</w:t>
      </w:r>
    </w:p>
    <w:p>
      <w:pPr>
        <w:widowControl/>
        <w:spacing w:line="400" w:lineRule="exact"/>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br w:type="page"/>
      </w:r>
      <w:r>
        <w:rPr>
          <w:rFonts w:hint="eastAsia" w:ascii="方正仿宋_GBK" w:hAnsi="方正仿宋_GBK" w:eastAsia="方正仿宋_GBK" w:cs="方正仿宋_GBK"/>
          <w:sz w:val="28"/>
          <w:szCs w:val="28"/>
          <w:highlight w:val="none"/>
        </w:rPr>
        <w:t>（五）特定资格条件证书或证明文件</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如果有）</w:t>
      </w:r>
    </w:p>
    <w:p>
      <w:pPr>
        <w:widowControl/>
        <w:spacing w:line="400" w:lineRule="exact"/>
        <w:ind w:firstLine="480" w:firstLineChars="200"/>
        <w:jc w:val="left"/>
        <w:rPr>
          <w:rFonts w:ascii="Times New Roman" w:hAnsi="Times New Roman" w:eastAsia="方正仿宋_GBK" w:cs="Times New Roman"/>
          <w:sz w:val="24"/>
          <w:highlight w:val="none"/>
        </w:rPr>
      </w:pPr>
    </w:p>
    <w:p>
      <w:pPr>
        <w:tabs>
          <w:tab w:val="left" w:pos="6300"/>
        </w:tabs>
        <w:ind w:left="0" w:leftChars="0" w:firstLine="420" w:firstLineChars="200"/>
        <w:rPr>
          <w:rFonts w:ascii="宋体" w:hAnsi="宋体"/>
          <w:snapToGrid w:val="0"/>
          <w:szCs w:val="24"/>
        </w:rPr>
      </w:pPr>
    </w:p>
    <w:p>
      <w:pPr>
        <w:pStyle w:val="2"/>
        <w:rPr>
          <w:rFonts w:ascii="宋体" w:hAnsi="宋体"/>
          <w:snapToGrid w:val="0"/>
          <w:szCs w:val="24"/>
        </w:rPr>
      </w:pPr>
    </w:p>
    <w:p/>
    <w:p>
      <w:pPr>
        <w:tabs>
          <w:tab w:val="left" w:pos="6300"/>
        </w:tabs>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（六）落实政府采购政策需满足的资格要求（如果有）</w:t>
      </w:r>
    </w:p>
    <w:p>
      <w:pPr>
        <w:tabs>
          <w:tab w:val="left" w:pos="6300"/>
        </w:tabs>
        <w:spacing w:line="500" w:lineRule="exact"/>
        <w:ind w:left="0" w:leftChars="0"/>
        <w:jc w:val="left"/>
        <w:rPr>
          <w:rFonts w:ascii="宋体" w:hAnsi="宋体"/>
          <w:sz w:val="28"/>
        </w:rPr>
      </w:pPr>
    </w:p>
    <w:p>
      <w:pPr>
        <w:snapToGrid/>
        <w:spacing w:line="240" w:lineRule="auto"/>
        <w:ind w:left="0" w:leftChars="0"/>
        <w:rPr>
          <w:rFonts w:ascii="仿宋_GB2312" w:eastAsia="仿宋_GB2312"/>
          <w:sz w:val="32"/>
        </w:rPr>
      </w:pPr>
    </w:p>
    <w:p>
      <w:pPr>
        <w:pageBreakBefore/>
        <w:tabs>
          <w:tab w:val="left" w:pos="6300"/>
        </w:tabs>
        <w:ind w:left="0" w:leftChars="0" w:firstLine="562" w:firstLineChars="200"/>
        <w:rPr>
          <w:rFonts w:hint="default" w:ascii="Times New Roman" w:hAnsi="Times New Roman" w:eastAsia="方正仿宋_GBK" w:cs="Times New Roman"/>
          <w:b/>
          <w:kern w:val="2"/>
          <w:sz w:val="28"/>
          <w:szCs w:val="28"/>
          <w:highlight w:val="none"/>
          <w:lang w:val="en-US" w:eastAsia="zh-CN" w:bidi="ar-SA"/>
        </w:rPr>
      </w:pPr>
      <w:r>
        <w:rPr>
          <w:rFonts w:hint="eastAsia" w:ascii="Times New Roman" w:hAnsi="Times New Roman" w:eastAsia="方正仿宋_GBK" w:cs="Times New Roman"/>
          <w:b/>
          <w:kern w:val="2"/>
          <w:sz w:val="28"/>
          <w:szCs w:val="28"/>
          <w:highlight w:val="none"/>
          <w:lang w:val="en-US" w:eastAsia="zh-CN" w:bidi="ar-SA"/>
        </w:rPr>
        <w:t>五、其他</w:t>
      </w:r>
    </w:p>
    <w:p>
      <w:pPr>
        <w:tabs>
          <w:tab w:val="left" w:pos="6300"/>
        </w:tabs>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（一）中小企业声明函、监狱企业证明文件、残疾人福利性单位声明函</w:t>
      </w:r>
    </w:p>
    <w:p>
      <w:pPr>
        <w:tabs>
          <w:tab w:val="left" w:pos="6300"/>
        </w:tabs>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1.中小企业声明函</w:t>
      </w:r>
    </w:p>
    <w:p>
      <w:pPr>
        <w:ind w:left="0" w:leftChars="0"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中小企业声明函</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本公司（联合体）郑重声明，根据《政府采购促进中小企业发展管理办法》（财库〔2020〕46号）的规定，本公司（联合体）参加</w:t>
      </w:r>
      <w:r>
        <w:rPr>
          <w:rFonts w:hint="eastAsia" w:ascii="方正仿宋_GBK" w:hAnsi="方正仿宋_GBK" w:eastAsia="方正仿宋_GBK" w:cs="方正仿宋_GBK"/>
          <w:snapToGrid w:val="0"/>
          <w:sz w:val="28"/>
          <w:szCs w:val="28"/>
          <w:u w:val="single"/>
        </w:rPr>
        <w:t>（采购单位名称）</w:t>
      </w:r>
      <w:r>
        <w:rPr>
          <w:rFonts w:hint="eastAsia" w:ascii="方正仿宋_GBK" w:hAnsi="方正仿宋_GBK" w:eastAsia="方正仿宋_GBK" w:cs="方正仿宋_GBK"/>
          <w:snapToGrid w:val="0"/>
          <w:sz w:val="28"/>
          <w:szCs w:val="28"/>
        </w:rPr>
        <w:t>的</w:t>
      </w:r>
      <w:r>
        <w:rPr>
          <w:rFonts w:hint="eastAsia" w:ascii="方正仿宋_GBK" w:hAnsi="方正仿宋_GBK" w:eastAsia="方正仿宋_GBK" w:cs="方正仿宋_GBK"/>
          <w:snapToGrid w:val="0"/>
          <w:sz w:val="28"/>
          <w:szCs w:val="28"/>
          <w:u w:val="single"/>
        </w:rPr>
        <w:t>（项目名称）</w:t>
      </w:r>
      <w:r>
        <w:rPr>
          <w:rFonts w:hint="eastAsia" w:ascii="方正仿宋_GBK" w:hAnsi="方正仿宋_GBK" w:eastAsia="方正仿宋_GBK" w:cs="方正仿宋_GBK"/>
          <w:snapToGrid w:val="0"/>
          <w:sz w:val="28"/>
          <w:szCs w:val="28"/>
        </w:rPr>
        <w:t>采购活动，提供的货物全部由符合政策要求的中小企业制造。相关企业（含联合体中的中小企业、签订分包意向协议的中小企业）的具体情况如下：</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1.</w:t>
      </w:r>
      <w:r>
        <w:rPr>
          <w:rFonts w:hint="eastAsia" w:ascii="方正仿宋_GBK" w:hAnsi="方正仿宋_GBK" w:eastAsia="方正仿宋_GBK" w:cs="方正仿宋_GBK"/>
          <w:snapToGrid w:val="0"/>
          <w:sz w:val="28"/>
          <w:szCs w:val="28"/>
          <w:u w:val="single"/>
        </w:rPr>
        <w:t>（标的名称）</w:t>
      </w:r>
      <w:r>
        <w:rPr>
          <w:rFonts w:hint="eastAsia" w:ascii="方正仿宋_GBK" w:hAnsi="方正仿宋_GBK" w:eastAsia="方正仿宋_GBK" w:cs="方正仿宋_GBK"/>
          <w:snapToGrid w:val="0"/>
          <w:sz w:val="28"/>
          <w:szCs w:val="28"/>
        </w:rPr>
        <w:t>，属于</w:t>
      </w:r>
      <w:r>
        <w:rPr>
          <w:rFonts w:hint="eastAsia" w:ascii="方正仿宋_GBK" w:hAnsi="方正仿宋_GBK" w:eastAsia="方正仿宋_GBK" w:cs="方正仿宋_GBK"/>
          <w:snapToGrid w:val="0"/>
          <w:sz w:val="28"/>
          <w:szCs w:val="28"/>
          <w:u w:val="single"/>
        </w:rPr>
        <w:t>（采购文件中明确的所属行业）行业</w:t>
      </w:r>
      <w:r>
        <w:rPr>
          <w:rFonts w:hint="eastAsia" w:ascii="方正仿宋_GBK" w:hAnsi="方正仿宋_GBK" w:eastAsia="方正仿宋_GBK" w:cs="方正仿宋_GBK"/>
          <w:snapToGrid w:val="0"/>
          <w:sz w:val="28"/>
          <w:szCs w:val="28"/>
        </w:rPr>
        <w:t>；制造商为</w:t>
      </w:r>
      <w:r>
        <w:rPr>
          <w:rFonts w:hint="eastAsia" w:ascii="方正仿宋_GBK" w:hAnsi="方正仿宋_GBK" w:eastAsia="方正仿宋_GBK" w:cs="方正仿宋_GBK"/>
          <w:snapToGrid w:val="0"/>
          <w:sz w:val="28"/>
          <w:szCs w:val="28"/>
          <w:u w:val="single"/>
        </w:rPr>
        <w:t>（企业名称）</w:t>
      </w:r>
      <w:r>
        <w:rPr>
          <w:rFonts w:hint="eastAsia" w:ascii="方正仿宋_GBK" w:hAnsi="方正仿宋_GBK" w:eastAsia="方正仿宋_GBK" w:cs="方正仿宋_GBK"/>
          <w:snapToGrid w:val="0"/>
          <w:sz w:val="28"/>
          <w:szCs w:val="28"/>
        </w:rPr>
        <w:t>，从业人员</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人，营业收入为</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万元，资产总额为</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万元，属于</w:t>
      </w:r>
      <w:r>
        <w:rPr>
          <w:rFonts w:hint="eastAsia" w:ascii="方正仿宋_GBK" w:hAnsi="方正仿宋_GBK" w:eastAsia="方正仿宋_GBK" w:cs="方正仿宋_GBK"/>
          <w:snapToGrid w:val="0"/>
          <w:sz w:val="28"/>
          <w:szCs w:val="28"/>
          <w:u w:val="single"/>
        </w:rPr>
        <w:t>（中型企业、小型企业、微型企业）</w:t>
      </w:r>
      <w:r>
        <w:rPr>
          <w:rFonts w:hint="eastAsia" w:ascii="方正仿宋_GBK" w:hAnsi="方正仿宋_GBK" w:eastAsia="方正仿宋_GBK" w:cs="方正仿宋_GBK"/>
          <w:snapToGrid w:val="0"/>
          <w:sz w:val="28"/>
          <w:szCs w:val="28"/>
        </w:rPr>
        <w:t>；</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2.</w:t>
      </w:r>
      <w:r>
        <w:rPr>
          <w:rFonts w:hint="eastAsia" w:ascii="方正仿宋_GBK" w:hAnsi="方正仿宋_GBK" w:eastAsia="方正仿宋_GBK" w:cs="方正仿宋_GBK"/>
          <w:snapToGrid w:val="0"/>
          <w:sz w:val="28"/>
          <w:szCs w:val="28"/>
          <w:u w:val="single"/>
        </w:rPr>
        <w:t>（标的名称）</w:t>
      </w:r>
      <w:r>
        <w:rPr>
          <w:rFonts w:hint="eastAsia" w:ascii="方正仿宋_GBK" w:hAnsi="方正仿宋_GBK" w:eastAsia="方正仿宋_GBK" w:cs="方正仿宋_GBK"/>
          <w:snapToGrid w:val="0"/>
          <w:sz w:val="28"/>
          <w:szCs w:val="28"/>
        </w:rPr>
        <w:t>，属于</w:t>
      </w:r>
      <w:r>
        <w:rPr>
          <w:rFonts w:hint="eastAsia" w:ascii="方正仿宋_GBK" w:hAnsi="方正仿宋_GBK" w:eastAsia="方正仿宋_GBK" w:cs="方正仿宋_GBK"/>
          <w:snapToGrid w:val="0"/>
          <w:sz w:val="28"/>
          <w:szCs w:val="28"/>
          <w:u w:val="single"/>
        </w:rPr>
        <w:t>（采购文件中明确的所属行业）行业</w:t>
      </w:r>
      <w:r>
        <w:rPr>
          <w:rFonts w:hint="eastAsia" w:ascii="方正仿宋_GBK" w:hAnsi="方正仿宋_GBK" w:eastAsia="方正仿宋_GBK" w:cs="方正仿宋_GBK"/>
          <w:snapToGrid w:val="0"/>
          <w:sz w:val="28"/>
          <w:szCs w:val="28"/>
        </w:rPr>
        <w:t>；制造商为</w:t>
      </w:r>
      <w:r>
        <w:rPr>
          <w:rFonts w:hint="eastAsia" w:ascii="方正仿宋_GBK" w:hAnsi="方正仿宋_GBK" w:eastAsia="方正仿宋_GBK" w:cs="方正仿宋_GBK"/>
          <w:snapToGrid w:val="0"/>
          <w:sz w:val="28"/>
          <w:szCs w:val="28"/>
          <w:u w:val="single"/>
        </w:rPr>
        <w:t>（企业名称）</w:t>
      </w:r>
      <w:r>
        <w:rPr>
          <w:rFonts w:hint="eastAsia" w:ascii="方正仿宋_GBK" w:hAnsi="方正仿宋_GBK" w:eastAsia="方正仿宋_GBK" w:cs="方正仿宋_GBK"/>
          <w:snapToGrid w:val="0"/>
          <w:sz w:val="28"/>
          <w:szCs w:val="28"/>
        </w:rPr>
        <w:t>，从业人员</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人，营业收入为</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万元，资产总额为</w:t>
      </w:r>
      <w:r>
        <w:rPr>
          <w:rFonts w:hint="eastAsia" w:ascii="方正仿宋_GBK" w:hAnsi="方正仿宋_GBK" w:eastAsia="方正仿宋_GBK" w:cs="方正仿宋_GBK"/>
          <w:snapToGrid w:val="0"/>
          <w:sz w:val="28"/>
          <w:szCs w:val="28"/>
          <w:u w:val="single"/>
        </w:rPr>
        <w:t xml:space="preserve">    </w:t>
      </w:r>
      <w:r>
        <w:rPr>
          <w:rFonts w:hint="eastAsia" w:ascii="方正仿宋_GBK" w:hAnsi="方正仿宋_GBK" w:eastAsia="方正仿宋_GBK" w:cs="方正仿宋_GBK"/>
          <w:snapToGrid w:val="0"/>
          <w:sz w:val="28"/>
          <w:szCs w:val="28"/>
        </w:rPr>
        <w:t>万元，属于</w:t>
      </w:r>
      <w:r>
        <w:rPr>
          <w:rFonts w:hint="eastAsia" w:ascii="方正仿宋_GBK" w:hAnsi="方正仿宋_GBK" w:eastAsia="方正仿宋_GBK" w:cs="方正仿宋_GBK"/>
          <w:snapToGrid w:val="0"/>
          <w:sz w:val="28"/>
          <w:szCs w:val="28"/>
          <w:u w:val="single"/>
        </w:rPr>
        <w:t>（中型企业、小型企业、微型企业）</w:t>
      </w:r>
      <w:r>
        <w:rPr>
          <w:rFonts w:hint="eastAsia" w:ascii="方正仿宋_GBK" w:hAnsi="方正仿宋_GBK" w:eastAsia="方正仿宋_GBK" w:cs="方正仿宋_GBK"/>
          <w:snapToGrid w:val="0"/>
          <w:sz w:val="28"/>
          <w:szCs w:val="28"/>
        </w:rPr>
        <w:t>；</w:t>
      </w:r>
    </w:p>
    <w:p>
      <w:pPr>
        <w:tabs>
          <w:tab w:val="left" w:pos="6300"/>
        </w:tabs>
        <w:spacing w:line="500" w:lineRule="exact"/>
        <w:ind w:left="0" w:leftChars="0" w:right="782"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以上企业，不属于大企业的分支机构，不存在控股股东为大企业的情形，也不存在与大企业的负责人为同一人的情形。</w:t>
      </w:r>
    </w:p>
    <w:p>
      <w:pPr>
        <w:tabs>
          <w:tab w:val="left" w:pos="6300"/>
        </w:tabs>
        <w:spacing w:line="500" w:lineRule="exact"/>
        <w:ind w:left="0" w:leftChars="0" w:firstLine="560" w:firstLineChars="200"/>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rPr>
        <w:t>本企业对上述声明内容的真实性负责。如有虚假，将依法承担相应责任。</w:t>
      </w:r>
    </w:p>
    <w:p>
      <w:pPr>
        <w:tabs>
          <w:tab w:val="left" w:pos="6300"/>
        </w:tabs>
        <w:spacing w:line="500" w:lineRule="exact"/>
        <w:jc w:val="center"/>
        <w:rPr>
          <w:rFonts w:hint="eastAsia" w:ascii="方正仿宋_GBK" w:hAnsi="方正仿宋_GBK" w:eastAsia="方正仿宋_GBK" w:cs="方正仿宋_GBK"/>
          <w:snapToGrid w:val="0"/>
          <w:sz w:val="28"/>
          <w:szCs w:val="28"/>
        </w:rPr>
      </w:pP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 xml:space="preserve">企业名称（盖章）： </w:t>
      </w:r>
    </w:p>
    <w:p>
      <w:pPr>
        <w:tabs>
          <w:tab w:val="left" w:pos="6300"/>
        </w:tabs>
        <w:spacing w:line="500" w:lineRule="exact"/>
        <w:ind w:right="784"/>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日期：</w:t>
      </w:r>
    </w:p>
    <w:p>
      <w:pPr>
        <w:tabs>
          <w:tab w:val="left" w:pos="6300"/>
        </w:tabs>
        <w:spacing w:line="40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填写时应注意以下事项：</w:t>
      </w:r>
    </w:p>
    <w:p>
      <w:pPr>
        <w:tabs>
          <w:tab w:val="left" w:pos="6300"/>
        </w:tabs>
        <w:spacing w:line="400" w:lineRule="exact"/>
        <w:ind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1.从业人员、营业收入、资产总额填报上一年度数据，无上一年度数据的新成立企业可不填报。</w:t>
      </w:r>
    </w:p>
    <w:p>
      <w:pPr>
        <w:tabs>
          <w:tab w:val="left" w:pos="6300"/>
        </w:tabs>
        <w:spacing w:line="400" w:lineRule="exact"/>
        <w:ind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2.中小企业应当按照《中小企业划型标准规定》（工信部联企业〔2011〕300号），如实填写并提交《中小企业声明函》。</w:t>
      </w:r>
    </w:p>
    <w:p>
      <w:pPr>
        <w:tabs>
          <w:tab w:val="left" w:pos="6300"/>
        </w:tabs>
        <w:spacing w:line="400" w:lineRule="exact"/>
        <w:ind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3.供应商填写《中小企业声明函》中所属行业时，应与采购文件第一篇“采购标的对应的中小企业划分标准所属行业”中填写的所属行业一致。</w:t>
      </w:r>
    </w:p>
    <w:p>
      <w:pPr>
        <w:tabs>
          <w:tab w:val="left" w:pos="6300"/>
        </w:tabs>
        <w:spacing w:line="400" w:lineRule="exact"/>
        <w:ind w:firstLine="482" w:firstLineChars="20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snapToGrid w:val="0"/>
          <w:color w:val="000000" w:themeColor="text1"/>
          <w:kern w:val="0"/>
          <w:sz w:val="24"/>
          <w:szCs w:val="24"/>
          <w14:textFill>
            <w14:solidFill>
              <w14:schemeClr w14:val="tx1"/>
            </w14:solidFill>
          </w14:textFill>
        </w:rPr>
        <w:t>4.本项目“（标的名称）”系指</w:t>
      </w:r>
      <w:r>
        <w:rPr>
          <w:rFonts w:hint="eastAsia" w:ascii="方正仿宋_GBK" w:hAnsi="方正仿宋_GBK" w:eastAsia="方正仿宋_GBK" w:cs="方正仿宋_GBK"/>
          <w:b/>
          <w:snapToGrid w:val="0"/>
          <w:color w:val="000000" w:themeColor="text1"/>
          <w:kern w:val="0"/>
          <w:sz w:val="24"/>
          <w:szCs w:val="24"/>
          <w:lang w:val="en-US" w:eastAsia="zh-CN"/>
          <w14:textFill>
            <w14:solidFill>
              <w14:schemeClr w14:val="tx1"/>
            </w14:solidFill>
          </w14:textFill>
        </w:rPr>
        <w:t>竞争性谈判</w:t>
      </w:r>
      <w:r>
        <w:rPr>
          <w:rFonts w:hint="eastAsia" w:ascii="方正仿宋_GBK" w:hAnsi="方正仿宋_GBK" w:eastAsia="方正仿宋_GBK" w:cs="方正仿宋_GBK"/>
          <w:b/>
          <w:snapToGrid w:val="0"/>
          <w:color w:val="000000" w:themeColor="text1"/>
          <w:kern w:val="0"/>
          <w:sz w:val="24"/>
          <w:szCs w:val="24"/>
          <w14:textFill>
            <w14:solidFill>
              <w14:schemeClr w14:val="tx1"/>
            </w14:solidFill>
          </w14:textFill>
        </w:rPr>
        <w:t>文件第二篇“</w:t>
      </w:r>
      <w:r>
        <w:rPr>
          <w:rFonts w:hint="eastAsia" w:ascii="方正仿宋_GBK" w:hAnsi="方正仿宋_GBK" w:eastAsia="方正仿宋_GBK" w:cs="方正仿宋_GBK"/>
          <w:b/>
          <w:snapToGrid w:val="0"/>
          <w:color w:val="000000" w:themeColor="text1"/>
          <w:kern w:val="0"/>
          <w:sz w:val="24"/>
          <w:szCs w:val="24"/>
          <w:lang w:val="en-US" w:eastAsia="zh-CN"/>
          <w14:textFill>
            <w14:solidFill>
              <w14:schemeClr w14:val="tx1"/>
            </w14:solidFill>
          </w14:textFill>
        </w:rPr>
        <w:t>项目名称</w:t>
      </w:r>
      <w:r>
        <w:rPr>
          <w:rFonts w:hint="eastAsia" w:ascii="方正仿宋_GBK" w:hAnsi="方正仿宋_GBK" w:eastAsia="方正仿宋_GBK" w:cs="方正仿宋_GBK"/>
          <w:b/>
          <w:snapToGrid w:val="0"/>
          <w:color w:val="000000" w:themeColor="text1"/>
          <w:kern w:val="0"/>
          <w:sz w:val="24"/>
          <w:szCs w:val="24"/>
          <w14:textFill>
            <w14:solidFill>
              <w14:schemeClr w14:val="tx1"/>
            </w14:solidFill>
          </w14:textFill>
        </w:rPr>
        <w:t>”所列的</w:t>
      </w:r>
      <w:r>
        <w:rPr>
          <w:rFonts w:hint="eastAsia" w:ascii="方正仿宋_GBK" w:hAnsi="方正仿宋_GBK" w:eastAsia="方正仿宋_GBK" w:cs="方正仿宋_GBK"/>
          <w:b/>
          <w:snapToGrid w:val="0"/>
          <w:color w:val="000000" w:themeColor="text1"/>
          <w:kern w:val="0"/>
          <w:sz w:val="24"/>
          <w:szCs w:val="24"/>
          <w:lang w:val="en-US" w:eastAsia="zh-CN"/>
          <w14:textFill>
            <w14:solidFill>
              <w14:schemeClr w14:val="tx1"/>
            </w14:solidFill>
          </w14:textFill>
        </w:rPr>
        <w:t>服务</w:t>
      </w:r>
      <w:r>
        <w:rPr>
          <w:rFonts w:hint="eastAsia" w:ascii="方正仿宋_GBK" w:hAnsi="方正仿宋_GBK" w:eastAsia="方正仿宋_GBK" w:cs="方正仿宋_GBK"/>
          <w:b/>
          <w:snapToGrid w:val="0"/>
          <w:color w:val="000000" w:themeColor="text1"/>
          <w:kern w:val="0"/>
          <w:sz w:val="24"/>
          <w:szCs w:val="24"/>
          <w14:textFill>
            <w14:solidFill>
              <w14:schemeClr w14:val="tx1"/>
            </w14:solidFill>
          </w14:textFill>
        </w:rPr>
        <w:t>，供应商应填写标的名称并如实声明。</w:t>
      </w:r>
    </w:p>
    <w:p>
      <w:pPr>
        <w:tabs>
          <w:tab w:val="left" w:pos="6300"/>
        </w:tabs>
        <w:spacing w:line="400" w:lineRule="exact"/>
        <w:ind w:firstLine="480" w:firstLineChars="200"/>
        <w:jc w:val="left"/>
        <w:rPr>
          <w:rFonts w:hint="eastAsia" w:ascii="方正仿宋_GBK" w:hAnsi="方正仿宋_GBK" w:eastAsia="方正仿宋_GBK" w:cs="方正仿宋_GBK"/>
          <w:snapToGrid w:val="0"/>
          <w:color w:val="000000" w:themeColor="text1"/>
          <w:kern w:val="0"/>
          <w:sz w:val="24"/>
          <w:szCs w:val="24"/>
          <w14:textFill>
            <w14:solidFill>
              <w14:schemeClr w14:val="tx1"/>
            </w14:solidFill>
          </w14:textFill>
        </w:rPr>
      </w:pPr>
      <w:r>
        <w:rPr>
          <w:rFonts w:hint="eastAsia" w:ascii="方正仿宋_GBK" w:hAnsi="方正仿宋_GBK" w:eastAsia="方正仿宋_GBK" w:cs="方正仿宋_GBK"/>
          <w:snapToGrid w:val="0"/>
          <w:color w:val="000000" w:themeColor="text1"/>
          <w:kern w:val="0"/>
          <w:sz w:val="24"/>
          <w:szCs w:val="24"/>
          <w14:textFill>
            <w14:solidFill>
              <w14:schemeClr w14:val="tx1"/>
            </w14:solidFill>
          </w14:textFill>
        </w:rPr>
        <w:t>5.本声明函“企业名称（盖章）”处为供应商盖章。</w:t>
      </w:r>
    </w:p>
    <w:p>
      <w:pPr>
        <w:tabs>
          <w:tab w:val="left" w:pos="6300"/>
        </w:tabs>
        <w:spacing w:line="400" w:lineRule="exact"/>
        <w:ind w:left="0" w:leftChars="0" w:firstLine="560" w:firstLineChars="200"/>
        <w:jc w:val="left"/>
        <w:rPr>
          <w:rFonts w:hint="eastAsia" w:ascii="方正仿宋_GBK" w:hAnsi="方正仿宋_GBK" w:eastAsia="方正仿宋_GBK" w:cs="方正仿宋_GBK"/>
          <w:snapToGrid w:val="0"/>
          <w:kern w:val="0"/>
          <w:sz w:val="28"/>
          <w:szCs w:val="28"/>
        </w:rPr>
      </w:pP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附：各行业划型标准</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（一）农、林、牧、渔业。营业收入20000万元以下的为中小微型企业。其中，营业收入500万元及以上的为中型企业，营业收入50万元及以上的为小型企业，营业收入50万元以下的为微型企业。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kern w:val="0"/>
          <w:sz w:val="24"/>
          <w:szCs w:val="24"/>
        </w:rPr>
      </w:pPr>
      <w:r>
        <w:rPr>
          <w:rFonts w:hint="eastAsia" w:ascii="方正仿宋_GBK" w:hAnsi="方正仿宋_GBK" w:eastAsia="方正仿宋_GBK" w:cs="方正仿宋_GBK"/>
          <w:snapToGrid w:val="0"/>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pacing w:line="400" w:lineRule="exact"/>
        <w:ind w:left="0" w:leftChars="0" w:firstLine="480" w:firstLineChars="200"/>
        <w:jc w:val="left"/>
        <w:rPr>
          <w:rFonts w:hint="eastAsia" w:ascii="方正仿宋_GBK" w:hAnsi="方正仿宋_GBK" w:eastAsia="方正仿宋_GBK" w:cs="方正仿宋_GBK"/>
          <w:snapToGrid w:val="0"/>
          <w:sz w:val="24"/>
          <w:szCs w:val="24"/>
        </w:rPr>
      </w:pPr>
      <w:r>
        <w:rPr>
          <w:rFonts w:hint="eastAsia" w:ascii="方正仿宋_GBK" w:hAnsi="方正仿宋_GBK" w:eastAsia="方正仿宋_GBK" w:cs="方正仿宋_GBK"/>
          <w:snapToGrid w:val="0"/>
          <w:kern w:val="0"/>
          <w:sz w:val="24"/>
          <w:szCs w:val="24"/>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pPr>
        <w:pageBreakBefore/>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2.监狱企业证明文件</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以省级以上监狱管理局、戒毒管理局（含新疆生产建设兵团）出具的属于监狱企业的证明文件为准。</w:t>
      </w:r>
    </w:p>
    <w:p>
      <w:pPr>
        <w:tabs>
          <w:tab w:val="left" w:pos="6300"/>
        </w:tabs>
        <w:ind w:left="0" w:leftChars="0" w:firstLine="560" w:firstLineChars="200"/>
        <w:rPr>
          <w:rFonts w:hint="eastAsia" w:ascii="方正仿宋_GBK" w:hAnsi="方正仿宋_GBK" w:eastAsia="方正仿宋_GBK" w:cs="方正仿宋_GBK"/>
          <w:sz w:val="28"/>
          <w:szCs w:val="28"/>
        </w:rPr>
      </w:pPr>
    </w:p>
    <w:p>
      <w:pPr>
        <w:tabs>
          <w:tab w:val="left" w:pos="6300"/>
        </w:tabs>
        <w:ind w:left="0" w:leftChars="0" w:firstLine="560" w:firstLineChars="200"/>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3.残疾人福利性单位声明函（格式）</w:t>
      </w:r>
    </w:p>
    <w:p>
      <w:pPr>
        <w:tabs>
          <w:tab w:val="left" w:pos="6300"/>
        </w:tabs>
        <w:ind w:left="0" w:leftChars="0" w:firstLine="643" w:firstLineChars="200"/>
        <w:jc w:val="center"/>
        <w:rPr>
          <w:rFonts w:hint="eastAsia" w:ascii="方正仿宋_GBK" w:hAnsi="方正仿宋_GBK" w:eastAsia="方正仿宋_GBK" w:cs="方正仿宋_GBK"/>
          <w:b/>
          <w:bCs/>
          <w:snapToGrid w:val="0"/>
          <w:kern w:val="0"/>
          <w:sz w:val="32"/>
          <w:szCs w:val="32"/>
        </w:rPr>
      </w:pPr>
    </w:p>
    <w:p>
      <w:pPr>
        <w:tabs>
          <w:tab w:val="left" w:pos="6300"/>
        </w:tabs>
        <w:ind w:left="0" w:leftChars="0" w:firstLine="643" w:firstLineChars="200"/>
        <w:jc w:val="center"/>
        <w:rPr>
          <w:rFonts w:hint="eastAsia" w:ascii="方正仿宋_GBK" w:hAnsi="方正仿宋_GBK" w:eastAsia="方正仿宋_GBK" w:cs="方正仿宋_GBK"/>
          <w:b/>
          <w:bCs/>
          <w:snapToGrid w:val="0"/>
          <w:kern w:val="0"/>
          <w:sz w:val="32"/>
          <w:szCs w:val="32"/>
        </w:rPr>
      </w:pPr>
      <w:r>
        <w:rPr>
          <w:rFonts w:hint="eastAsia" w:ascii="方正仿宋_GBK" w:hAnsi="方正仿宋_GBK" w:eastAsia="方正仿宋_GBK" w:cs="方正仿宋_GBK"/>
          <w:b/>
          <w:bCs/>
          <w:snapToGrid w:val="0"/>
          <w:kern w:val="0"/>
          <w:sz w:val="32"/>
          <w:szCs w:val="32"/>
        </w:rPr>
        <w:t>残疾人福利性单位声明函</w:t>
      </w:r>
    </w:p>
    <w:p>
      <w:pPr>
        <w:pStyle w:val="2"/>
        <w:rPr>
          <w:rFonts w:hint="eastAsia"/>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本单位对上述声明的真实性负责。如有虚假，将依法承担相应责任。</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 xml:space="preserve">                          供应商名称（盖章）：</w:t>
      </w:r>
    </w:p>
    <w:p>
      <w:pPr>
        <w:tabs>
          <w:tab w:val="left" w:pos="6300"/>
        </w:tabs>
        <w:ind w:left="0" w:leftChars="0" w:firstLine="57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 xml:space="preserve">                                      日  期：</w:t>
      </w:r>
    </w:p>
    <w:p>
      <w:pPr>
        <w:tabs>
          <w:tab w:val="left" w:pos="6300"/>
        </w:tabs>
        <w:spacing w:line="500" w:lineRule="exact"/>
        <w:ind w:left="0" w:leftChars="0"/>
        <w:jc w:val="left"/>
        <w:rPr>
          <w:rFonts w:hint="eastAsia" w:ascii="方正仿宋_GBK" w:hAnsi="方正仿宋_GBK" w:eastAsia="方正仿宋_GBK" w:cs="方正仿宋_GBK"/>
          <w:snapToGrid w:val="0"/>
          <w:kern w:val="0"/>
          <w:sz w:val="28"/>
          <w:szCs w:val="28"/>
        </w:rPr>
      </w:pPr>
    </w:p>
    <w:p>
      <w:pPr>
        <w:tabs>
          <w:tab w:val="left" w:pos="6300"/>
        </w:tabs>
        <w:spacing w:line="500" w:lineRule="exact"/>
        <w:ind w:left="0" w:leftChars="0" w:firstLine="57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若成交供应商为残疾人福利性单位的，将在结果公告时公告其《残疾人福利性单位声明函》。</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pStyle w:val="2"/>
        <w:rPr>
          <w:rFonts w:hint="eastAsia" w:ascii="方正仿宋_GBK" w:hAnsi="方正仿宋_GBK" w:eastAsia="方正仿宋_GBK" w:cs="方正仿宋_GBK"/>
          <w:snapToGrid w:val="0"/>
          <w:kern w:val="0"/>
          <w:sz w:val="28"/>
          <w:szCs w:val="28"/>
        </w:rPr>
      </w:pPr>
    </w:p>
    <w:p>
      <w:pPr>
        <w:rPr>
          <w:rFonts w:hint="eastAsia"/>
        </w:rPr>
      </w:pPr>
    </w:p>
    <w:p>
      <w:pPr>
        <w:pStyle w:val="16"/>
        <w:keepNext w:val="0"/>
        <w:keepLines w:val="0"/>
        <w:widowControl/>
        <w:suppressLineNumbers w:val="0"/>
        <w:spacing w:before="0" w:beforeAutospacing="0" w:after="0" w:afterAutospacing="0" w:line="600" w:lineRule="auto"/>
        <w:ind w:firstLine="560" w:firstLineChars="200"/>
        <w:jc w:val="lef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二）</w:t>
      </w:r>
      <w:r>
        <w:rPr>
          <w:rFonts w:hint="eastAsia" w:ascii="方正仿宋_GBK" w:hAnsi="方正仿宋_GBK" w:eastAsia="方正仿宋_GBK" w:cs="方正仿宋_GBK"/>
          <w:color w:val="000000"/>
          <w:sz w:val="28"/>
          <w:szCs w:val="28"/>
        </w:rPr>
        <w:t>报名</w:t>
      </w:r>
      <w:r>
        <w:rPr>
          <w:rFonts w:hint="eastAsia" w:ascii="方正仿宋_GBK" w:hAnsi="方正仿宋_GBK" w:eastAsia="方正仿宋_GBK" w:cs="方正仿宋_GBK"/>
          <w:color w:val="000000"/>
          <w:sz w:val="28"/>
          <w:szCs w:val="28"/>
          <w:lang w:val="en-US" w:eastAsia="zh-CN"/>
        </w:rPr>
        <w:t>回执</w:t>
      </w:r>
    </w:p>
    <w:p>
      <w:pPr>
        <w:pStyle w:val="16"/>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lang w:val="en-US" w:eastAsia="zh-CN"/>
        </w:rPr>
        <w:t>竞争性谈判</w:t>
      </w:r>
      <w:r>
        <w:rPr>
          <w:rFonts w:hint="eastAsia" w:ascii="方正仿宋_GBK" w:hAnsi="方正仿宋_GBK" w:eastAsia="方正仿宋_GBK" w:cs="方正仿宋_GBK"/>
          <w:b/>
          <w:bCs/>
          <w:color w:val="000000"/>
          <w:sz w:val="32"/>
          <w:szCs w:val="32"/>
        </w:rPr>
        <w:t>报名回执</w:t>
      </w:r>
    </w:p>
    <w:p>
      <w:pPr>
        <w:pStyle w:val="16"/>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firstLine="643" w:firstLineChars="200"/>
        <w:jc w:val="center"/>
        <w:textAlignment w:val="auto"/>
        <w:rPr>
          <w:rFonts w:hint="eastAsia" w:ascii="方正仿宋_GBK" w:hAnsi="方正仿宋_GBK" w:eastAsia="方正仿宋_GBK" w:cs="方正仿宋_GBK"/>
          <w:b/>
          <w:bCs/>
          <w:color w:val="000000"/>
          <w:sz w:val="32"/>
          <w:szCs w:val="32"/>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60" w:firstLineChars="200"/>
        <w:textAlignment w:val="auto"/>
        <w:rPr>
          <w:rFonts w:hint="eastAsia" w:ascii="方正仿宋_GBK" w:hAnsi="宋体" w:eastAsia="方正仿宋_GBK"/>
          <w:sz w:val="28"/>
          <w:szCs w:val="28"/>
        </w:rPr>
      </w:pP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（采购</w:t>
      </w:r>
      <w:r>
        <w:rPr>
          <w:rFonts w:hint="eastAsia" w:ascii="方正仿宋_GBK" w:hAnsi="宋体" w:eastAsia="方正仿宋_GBK"/>
          <w:sz w:val="28"/>
          <w:szCs w:val="28"/>
          <w:lang w:val="en-US" w:eastAsia="zh-CN"/>
        </w:rPr>
        <w:t>人</w:t>
      </w:r>
      <w:r>
        <w:rPr>
          <w:rFonts w:hint="eastAsia" w:ascii="方正仿宋_GBK" w:hAnsi="宋体" w:eastAsia="方正仿宋_GBK"/>
          <w:sz w:val="28"/>
          <w:szCs w:val="28"/>
        </w:rPr>
        <w:t>名称）：</w:t>
      </w:r>
    </w:p>
    <w:p>
      <w:pPr>
        <w:tabs>
          <w:tab w:val="left" w:pos="6300"/>
        </w:tabs>
        <w:snapToGrid w:val="0"/>
        <w:spacing w:line="500" w:lineRule="exact"/>
        <w:ind w:firstLine="560" w:firstLineChars="200"/>
        <w:rPr>
          <w:rFonts w:hint="eastAsia" w:ascii="方正仿宋_GBK" w:hAnsi="仿宋" w:eastAsia="方正仿宋_GBK" w:cs="Times New Roman"/>
          <w:sz w:val="28"/>
          <w:szCs w:val="28"/>
        </w:rPr>
      </w:pPr>
      <w:r>
        <w:rPr>
          <w:rFonts w:hint="eastAsia" w:ascii="方正仿宋_GBK" w:hAnsi="仿宋" w:eastAsia="方正仿宋_GBK" w:cs="Times New Roman"/>
          <w:sz w:val="28"/>
          <w:szCs w:val="28"/>
        </w:rPr>
        <w:t>我方收到____________________________（谈判项目名称）的竞争性谈判文件，经详细研究，决定参加该谈判项目的竞争谈判。</w:t>
      </w:r>
    </w:p>
    <w:tbl>
      <w:tblPr>
        <w:tblStyle w:val="17"/>
        <w:tblW w:w="8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107"/>
        <w:gridCol w:w="1458"/>
        <w:gridCol w:w="1581"/>
        <w:gridCol w:w="1684"/>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7"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lang w:val="en-US" w:eastAsia="zh-CN"/>
              </w:rPr>
              <w:t>供应商</w:t>
            </w:r>
            <w:r>
              <w:rPr>
                <w:rFonts w:hint="eastAsia" w:ascii="方正仿宋_GBK" w:hAnsi="方正仿宋_GBK" w:eastAsia="方正仿宋_GBK" w:cs="方正仿宋_GBK"/>
                <w:color w:val="000000"/>
                <w:sz w:val="28"/>
                <w:szCs w:val="28"/>
              </w:rPr>
              <w:t>名称</w:t>
            </w:r>
          </w:p>
        </w:tc>
        <w:tc>
          <w:tcPr>
            <w:tcW w:w="3039" w:type="dxa"/>
            <w:gridSpan w:val="2"/>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联系人</w:t>
            </w:r>
          </w:p>
        </w:tc>
        <w:tc>
          <w:tcPr>
            <w:tcW w:w="3357" w:type="dxa"/>
            <w:gridSpan w:val="2"/>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458"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姓 名</w:t>
            </w:r>
          </w:p>
        </w:tc>
        <w:tc>
          <w:tcPr>
            <w:tcW w:w="1581"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职 务</w:t>
            </w:r>
          </w:p>
        </w:tc>
        <w:tc>
          <w:tcPr>
            <w:tcW w:w="1684"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电 话</w:t>
            </w:r>
          </w:p>
        </w:tc>
        <w:tc>
          <w:tcPr>
            <w:tcW w:w="1673"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5" w:hRule="atLeast"/>
        </w:trPr>
        <w:tc>
          <w:tcPr>
            <w:tcW w:w="0" w:type="auto"/>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458"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581"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684"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1673" w:type="dxa"/>
            <w:tcBorders>
              <w:top w:val="single" w:color="000000" w:sz="4" w:space="0"/>
              <w:left w:val="single" w:color="000000" w:sz="4" w:space="0"/>
              <w:bottom w:val="single" w:color="000000" w:sz="4" w:space="0"/>
              <w:right w:val="single" w:color="000000" w:sz="4" w:space="0"/>
            </w:tcBorders>
            <w:noWrap w:val="0"/>
            <w:tcMar>
              <w:top w:w="60" w:type="dxa"/>
              <w:left w:w="110" w:type="dxa"/>
              <w:bottom w:w="60" w:type="dxa"/>
              <w:right w:w="110"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r>
    </w:tbl>
    <w:p>
      <w:pPr>
        <w:tabs>
          <w:tab w:val="left" w:pos="6300"/>
        </w:tabs>
        <w:snapToGrid w:val="0"/>
        <w:spacing w:line="500" w:lineRule="exact"/>
        <w:ind w:firstLine="560" w:firstLineChars="200"/>
        <w:rPr>
          <w:rFonts w:hint="eastAsia" w:ascii="方正仿宋_GBK" w:hAnsi="仿宋" w:eastAsia="方正仿宋_GBK" w:cs="Times New Roman"/>
          <w:sz w:val="28"/>
          <w:szCs w:val="28"/>
          <w:lang w:eastAsia="zh-CN"/>
        </w:rPr>
      </w:pPr>
      <w:r>
        <w:rPr>
          <w:rFonts w:hint="eastAsia" w:ascii="方正仿宋_GBK" w:hAnsi="仿宋" w:eastAsia="方正仿宋_GBK" w:cs="Times New Roman"/>
          <w:sz w:val="28"/>
          <w:szCs w:val="28"/>
        </w:rPr>
        <w:t>注：请在</w:t>
      </w:r>
      <w:r>
        <w:rPr>
          <w:rFonts w:hint="eastAsia" w:ascii="方正仿宋_GBK" w:hAnsi="方正仿宋_GBK" w:eastAsia="方正仿宋_GBK" w:cs="方正仿宋_GBK"/>
          <w:sz w:val="28"/>
          <w:szCs w:val="28"/>
        </w:rPr>
        <w:t>竞争性谈判文件提供期限内，</w:t>
      </w:r>
      <w:r>
        <w:rPr>
          <w:rFonts w:hint="eastAsia" w:ascii="方正仿宋_GBK" w:hAnsi="方正仿宋_GBK" w:eastAsia="方正仿宋_GBK" w:cs="方正仿宋_GBK"/>
          <w:sz w:val="28"/>
          <w:szCs w:val="28"/>
          <w:lang w:val="en-US" w:eastAsia="zh-CN"/>
        </w:rPr>
        <w:t>填写该报名回执并加盖章后，</w:t>
      </w:r>
      <w:r>
        <w:rPr>
          <w:rFonts w:hint="eastAsia" w:ascii="方正仿宋_GBK" w:hAnsi="方正仿宋_GBK" w:eastAsia="方正仿宋_GBK" w:cs="方正仿宋_GBK"/>
          <w:sz w:val="28"/>
          <w:szCs w:val="28"/>
        </w:rPr>
        <w:t>扫描发送至cqdyycg@163.com</w:t>
      </w:r>
      <w:r>
        <w:rPr>
          <w:rFonts w:hint="eastAsia" w:ascii="方正仿宋_GBK" w:hAnsi="仿宋" w:eastAsia="方正仿宋_GBK" w:cs="Times New Roman"/>
          <w:sz w:val="28"/>
          <w:szCs w:val="28"/>
        </w:rPr>
        <w:t>确认报名，逾期无效，无公章无效</w:t>
      </w:r>
      <w:r>
        <w:rPr>
          <w:rFonts w:hint="eastAsia" w:ascii="方正仿宋_GBK" w:hAnsi="仿宋" w:eastAsia="方正仿宋_GBK" w:cs="Times New Roman"/>
          <w:sz w:val="28"/>
          <w:szCs w:val="28"/>
          <w:lang w:eastAsia="zh-CN"/>
        </w:rPr>
        <w:t>。</w:t>
      </w:r>
    </w:p>
    <w:p>
      <w:pPr>
        <w:pStyle w:val="16"/>
        <w:keepNext w:val="0"/>
        <w:keepLines w:val="0"/>
        <w:widowControl/>
        <w:suppressLineNumbers w:val="0"/>
        <w:spacing w:before="0" w:beforeAutospacing="0" w:after="0" w:afterAutospacing="0" w:line="600" w:lineRule="auto"/>
        <w:ind w:left="0" w:firstLine="560"/>
        <w:jc w:val="right"/>
        <w:rPr>
          <w:rFonts w:hint="eastAsia" w:ascii="方正仿宋_GBK" w:hAnsi="方正仿宋_GBK" w:eastAsia="方正仿宋_GBK" w:cs="方正仿宋_GBK"/>
          <w:color w:val="000000"/>
          <w:sz w:val="28"/>
          <w:szCs w:val="28"/>
        </w:rPr>
      </w:pPr>
    </w:p>
    <w:p>
      <w:pPr>
        <w:tabs>
          <w:tab w:val="left" w:pos="6300"/>
        </w:tabs>
        <w:snapToGrid w:val="0"/>
        <w:spacing w:line="500" w:lineRule="exact"/>
        <w:ind w:firstLine="570"/>
        <w:rPr>
          <w:rFonts w:hint="eastAsia" w:ascii="方正仿宋_GBK" w:hAnsi="宋体" w:eastAsia="方正仿宋_GBK"/>
          <w:sz w:val="28"/>
          <w:szCs w:val="28"/>
        </w:rPr>
      </w:pPr>
      <w:r>
        <w:rPr>
          <w:rFonts w:hint="eastAsia" w:ascii="方正仿宋_GBK" w:hAnsi="宋体" w:eastAsia="方正仿宋_GBK"/>
          <w:sz w:val="28"/>
          <w:szCs w:val="28"/>
        </w:rPr>
        <w:t xml:space="preserve">          </w:t>
      </w:r>
      <w:r>
        <w:rPr>
          <w:rFonts w:hint="eastAsia" w:ascii="方正仿宋_GBK" w:hAnsi="宋体" w:eastAsia="方正仿宋_GBK"/>
          <w:sz w:val="28"/>
          <w:szCs w:val="28"/>
          <w:lang w:val="en-US" w:eastAsia="zh-CN"/>
        </w:rPr>
        <w:t xml:space="preserve">                               </w:t>
      </w:r>
      <w:r>
        <w:rPr>
          <w:rFonts w:hint="eastAsia" w:ascii="方正仿宋_GBK" w:hAnsi="宋体" w:eastAsia="方正仿宋_GBK"/>
          <w:sz w:val="28"/>
          <w:szCs w:val="28"/>
        </w:rPr>
        <w:t>（供应商公章）</w:t>
      </w:r>
    </w:p>
    <w:p>
      <w:pPr>
        <w:tabs>
          <w:tab w:val="left" w:pos="6300"/>
        </w:tabs>
        <w:snapToGrid w:val="0"/>
        <w:spacing w:line="500" w:lineRule="exact"/>
        <w:ind w:firstLine="570"/>
        <w:rPr>
          <w:rFonts w:hint="eastAsia" w:ascii="方正仿宋_GBK" w:hAnsi="宋体" w:eastAsia="方正仿宋_GBK"/>
          <w:sz w:val="28"/>
          <w:szCs w:val="28"/>
        </w:rPr>
      </w:pPr>
    </w:p>
    <w:p>
      <w:pPr>
        <w:tabs>
          <w:tab w:val="left" w:pos="6300"/>
        </w:tabs>
        <w:snapToGrid w:val="0"/>
        <w:spacing w:line="500" w:lineRule="exact"/>
        <w:ind w:firstLine="570"/>
        <w:rPr>
          <w:rFonts w:hint="eastAsia" w:ascii="方正仿宋_GBK" w:hAnsi="宋体" w:eastAsia="方正仿宋_GBK"/>
          <w:sz w:val="28"/>
          <w:szCs w:val="28"/>
        </w:rPr>
      </w:pPr>
      <w:r>
        <w:rPr>
          <w:rFonts w:hint="eastAsia" w:ascii="方正仿宋_GBK" w:hAnsi="宋体" w:eastAsia="方正仿宋_GBK"/>
          <w:sz w:val="28"/>
          <w:szCs w:val="28"/>
        </w:rPr>
        <w:t xml:space="preserve">                                          年 </w:t>
      </w:r>
      <w:r>
        <w:rPr>
          <w:rFonts w:hint="eastAsia" w:ascii="方正仿宋_GBK" w:hAnsi="宋体" w:eastAsia="方正仿宋_GBK"/>
          <w:sz w:val="28"/>
          <w:szCs w:val="28"/>
          <w:lang w:val="en-US" w:eastAsia="zh-CN"/>
        </w:rPr>
        <w:t xml:space="preserve"> </w:t>
      </w:r>
      <w:r>
        <w:rPr>
          <w:rFonts w:hint="eastAsia" w:ascii="方正仿宋_GBK" w:hAnsi="宋体" w:eastAsia="方正仿宋_GBK"/>
          <w:sz w:val="28"/>
          <w:szCs w:val="28"/>
        </w:rPr>
        <w:t xml:space="preserve">  月   日</w:t>
      </w: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p>
    <w:p>
      <w:pPr>
        <w:tabs>
          <w:tab w:val="left" w:pos="6300"/>
        </w:tabs>
        <w:ind w:left="0" w:leftChars="0" w:firstLine="560" w:firstLineChars="200"/>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w:t>
      </w:r>
      <w:r>
        <w:rPr>
          <w:rFonts w:hint="eastAsia" w:ascii="方正仿宋_GBK" w:hAnsi="方正仿宋_GBK" w:eastAsia="方正仿宋_GBK" w:cs="方正仿宋_GBK"/>
          <w:snapToGrid w:val="0"/>
          <w:kern w:val="0"/>
          <w:sz w:val="28"/>
          <w:szCs w:val="28"/>
          <w:lang w:val="en-US" w:eastAsia="zh-CN"/>
        </w:rPr>
        <w:t>三</w:t>
      </w:r>
      <w:r>
        <w:rPr>
          <w:rFonts w:hint="eastAsia" w:ascii="方正仿宋_GBK" w:hAnsi="方正仿宋_GBK" w:eastAsia="方正仿宋_GBK" w:cs="方正仿宋_GBK"/>
          <w:snapToGrid w:val="0"/>
          <w:kern w:val="0"/>
          <w:sz w:val="28"/>
          <w:szCs w:val="28"/>
        </w:rPr>
        <w:t>）其他与项目有关的资料（自附）</w:t>
      </w:r>
    </w:p>
    <w:bookmarkEnd w:id="215"/>
    <w:bookmarkEnd w:id="216"/>
    <w:bookmarkEnd w:id="217"/>
    <w:p>
      <w:pPr>
        <w:rPr>
          <w:rFonts w:ascii="Times New Roman" w:hAnsi="Times New Roman" w:eastAsia="方正仿宋_GBK" w:cs="Times New Roman"/>
          <w:sz w:val="28"/>
          <w:szCs w:val="28"/>
          <w:highlight w:val="none"/>
        </w:rPr>
      </w:pPr>
      <w:bookmarkStart w:id="218" w:name="_GoBack"/>
      <w:bookmarkEnd w:id="218"/>
    </w:p>
    <w:p>
      <w:pPr>
        <w:rPr>
          <w:rFonts w:ascii="Times New Roman" w:hAnsi="Times New Roman" w:eastAsia="方正仿宋_GBK" w:cs="Times New Roman"/>
          <w:sz w:val="28"/>
          <w:szCs w:val="28"/>
          <w:highlight w:val="none"/>
        </w:rPr>
      </w:pPr>
    </w:p>
    <w:p>
      <w:pPr>
        <w:rPr>
          <w:rFonts w:ascii="Times New Roman" w:hAnsi="Times New Roman" w:eastAsia="方正仿宋_GBK" w:cs="Times New Roman"/>
          <w:sz w:val="28"/>
          <w:szCs w:val="28"/>
          <w:highlight w:val="none"/>
        </w:rPr>
      </w:pPr>
    </w:p>
    <w:p>
      <w:pPr>
        <w:rPr>
          <w:rFonts w:ascii="Times New Roman" w:hAnsi="Times New Roman" w:cs="Times New Roman"/>
          <w:sz w:val="28"/>
          <w:szCs w:val="28"/>
          <w:highlight w:val="none"/>
        </w:rPr>
      </w:pPr>
    </w:p>
    <w:p>
      <w:pPr>
        <w:pStyle w:val="2"/>
        <w:rPr>
          <w:rFonts w:ascii="Times New Roman" w:hAnsi="Times New Roman" w:cs="Times New Roman"/>
          <w:sz w:val="28"/>
          <w:szCs w:val="28"/>
          <w:highlight w:val="none"/>
        </w:rPr>
      </w:pPr>
    </w:p>
    <w:p/>
    <w:p>
      <w:pPr>
        <w:pStyle w:val="2"/>
      </w:pPr>
    </w:p>
    <w:p>
      <w:pPr>
        <w:rPr>
          <w:rFonts w:ascii="Times New Roman" w:hAnsi="Times New Roman" w:eastAsia="方正仿宋_GBK" w:cs="Times New Roman"/>
          <w:sz w:val="28"/>
          <w:szCs w:val="28"/>
          <w:highlight w:val="none"/>
        </w:rPr>
      </w:pPr>
    </w:p>
    <w:p>
      <w:pPr>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（结束）</w:t>
      </w:r>
    </w:p>
    <w:p>
      <w:pPr>
        <w:jc w:val="center"/>
        <w:rPr>
          <w:rFonts w:ascii="Times New Roman" w:hAnsi="Times New Roman" w:eastAsia="方正仿宋_GBK" w:cs="Times New Roman"/>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spacing w:line="360" w:lineRule="auto"/>
        <w:ind w:firstLine="480" w:firstLineChars="200"/>
        <w:jc w:val="center"/>
        <w:rPr>
          <w:rFonts w:ascii="Times New Roman" w:hAnsi="Times New Roman" w:eastAsia="方正仿宋_GBK" w:cs="Times New Roman"/>
          <w:sz w:val="24"/>
          <w:highlight w:val="none"/>
        </w:rPr>
      </w:pPr>
    </w:p>
    <w:p>
      <w:pPr>
        <w:pStyle w:val="2"/>
        <w:rPr>
          <w:rFonts w:ascii="Times New Roman" w:hAnsi="Times New Roman" w:eastAsia="方正仿宋_GBK" w:cs="Times New Roman"/>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BD863F-0BAD-4BF6-B367-D55B06C404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921CC644-6009-4258-ABEF-12D523DFA10C}"/>
  </w:font>
  <w:font w:name="方正仿宋_GBK">
    <w:panose1 w:val="03000509000000000000"/>
    <w:charset w:val="86"/>
    <w:family w:val="script"/>
    <w:pitch w:val="default"/>
    <w:sig w:usb0="00000001" w:usb1="080E0000" w:usb2="00000000" w:usb3="00000000" w:csb0="00040000" w:csb1="00000000"/>
    <w:embedRegular r:id="rId3" w:fontKey="{18D63191-C342-4CC5-B288-F8DDEBD3CF03}"/>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4" w:fontKey="{310EFDE1-3DAF-422B-8E60-2C6BF5850DD5}"/>
  </w:font>
  <w:font w:name="仿宋_GB2312">
    <w:panose1 w:val="02010609030101010101"/>
    <w:charset w:val="86"/>
    <w:family w:val="modern"/>
    <w:pitch w:val="default"/>
    <w:sig w:usb0="00000001" w:usb1="080E0000" w:usb2="00000000" w:usb3="00000000" w:csb0="00040000" w:csb1="00000000"/>
    <w:embedRegular r:id="rId5" w:fontKey="{07160284-505E-4EB0-B09A-89FF89194B6A}"/>
  </w:font>
  <w:font w:name="仿宋">
    <w:panose1 w:val="02010609060101010101"/>
    <w:charset w:val="86"/>
    <w:family w:val="auto"/>
    <w:pitch w:val="default"/>
    <w:sig w:usb0="800002BF" w:usb1="38CF7CFA" w:usb2="00000016" w:usb3="00000000" w:csb0="00040001" w:csb1="00000000"/>
    <w:embedRegular r:id="rId6" w:fontKey="{C706009D-36AD-4A05-9619-8A6F388CB7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19"/>
      </w:rPr>
    </w:pPr>
  </w:p>
  <w:p>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Style w:val="19"/>
                              <w:rFonts w:ascii="Times New Roman" w:hAnsi="Times New Roman" w:cs="Times New Roman"/>
                              <w:sz w:val="21"/>
                              <w:szCs w:val="21"/>
                            </w:rPr>
                          </w:pPr>
                          <w:r>
                            <w:rPr>
                              <w:rStyle w:val="19"/>
                              <w:rFonts w:ascii="Times New Roman" w:hAnsi="Times New Roman" w:cs="Times New Roman"/>
                              <w:sz w:val="21"/>
                              <w:szCs w:val="21"/>
                            </w:rPr>
                            <w:t xml:space="preserve">— </w:t>
                          </w:r>
                          <w:r>
                            <w:rPr>
                              <w:rStyle w:val="19"/>
                              <w:rFonts w:ascii="Times New Roman" w:hAnsi="Times New Roman" w:cs="Times New Roman"/>
                              <w:sz w:val="21"/>
                              <w:szCs w:val="21"/>
                            </w:rPr>
                            <w:fldChar w:fldCharType="begin"/>
                          </w:r>
                          <w:r>
                            <w:rPr>
                              <w:rStyle w:val="19"/>
                              <w:rFonts w:ascii="Times New Roman" w:hAnsi="Times New Roman" w:cs="Times New Roman"/>
                              <w:sz w:val="21"/>
                              <w:szCs w:val="21"/>
                            </w:rPr>
                            <w:instrText xml:space="preserve"> PAGE  \* MERGEFORMAT </w:instrText>
                          </w:r>
                          <w:r>
                            <w:rPr>
                              <w:rStyle w:val="19"/>
                              <w:rFonts w:ascii="Times New Roman" w:hAnsi="Times New Roman" w:cs="Times New Roman"/>
                              <w:sz w:val="21"/>
                              <w:szCs w:val="21"/>
                            </w:rPr>
                            <w:fldChar w:fldCharType="separate"/>
                          </w:r>
                          <w:r>
                            <w:rPr>
                              <w:rStyle w:val="19"/>
                              <w:rFonts w:ascii="Times New Roman" w:hAnsi="Times New Roman" w:cs="Times New Roman"/>
                              <w:sz w:val="21"/>
                              <w:szCs w:val="21"/>
                            </w:rPr>
                            <w:t>2</w:t>
                          </w:r>
                          <w:r>
                            <w:rPr>
                              <w:rStyle w:val="19"/>
                              <w:rFonts w:ascii="Times New Roman" w:hAnsi="Times New Roman" w:cs="Times New Roman"/>
                              <w:sz w:val="21"/>
                              <w:szCs w:val="21"/>
                            </w:rPr>
                            <w:fldChar w:fldCharType="end"/>
                          </w:r>
                          <w:r>
                            <w:rPr>
                              <w:rStyle w:val="19"/>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jc w:val="center"/>
                      <w:rPr>
                        <w:rStyle w:val="19"/>
                        <w:rFonts w:ascii="Times New Roman" w:hAnsi="Times New Roman" w:cs="Times New Roman"/>
                        <w:sz w:val="21"/>
                        <w:szCs w:val="21"/>
                      </w:rPr>
                    </w:pPr>
                    <w:r>
                      <w:rPr>
                        <w:rStyle w:val="19"/>
                        <w:rFonts w:ascii="Times New Roman" w:hAnsi="Times New Roman" w:cs="Times New Roman"/>
                        <w:sz w:val="21"/>
                        <w:szCs w:val="21"/>
                      </w:rPr>
                      <w:t xml:space="preserve">— </w:t>
                    </w:r>
                    <w:r>
                      <w:rPr>
                        <w:rStyle w:val="19"/>
                        <w:rFonts w:ascii="Times New Roman" w:hAnsi="Times New Roman" w:cs="Times New Roman"/>
                        <w:sz w:val="21"/>
                        <w:szCs w:val="21"/>
                      </w:rPr>
                      <w:fldChar w:fldCharType="begin"/>
                    </w:r>
                    <w:r>
                      <w:rPr>
                        <w:rStyle w:val="19"/>
                        <w:rFonts w:ascii="Times New Roman" w:hAnsi="Times New Roman" w:cs="Times New Roman"/>
                        <w:sz w:val="21"/>
                        <w:szCs w:val="21"/>
                      </w:rPr>
                      <w:instrText xml:space="preserve"> PAGE  \* MERGEFORMAT </w:instrText>
                    </w:r>
                    <w:r>
                      <w:rPr>
                        <w:rStyle w:val="19"/>
                        <w:rFonts w:ascii="Times New Roman" w:hAnsi="Times New Roman" w:cs="Times New Roman"/>
                        <w:sz w:val="21"/>
                        <w:szCs w:val="21"/>
                      </w:rPr>
                      <w:fldChar w:fldCharType="separate"/>
                    </w:r>
                    <w:r>
                      <w:rPr>
                        <w:rStyle w:val="19"/>
                        <w:rFonts w:ascii="Times New Roman" w:hAnsi="Times New Roman" w:cs="Times New Roman"/>
                        <w:sz w:val="21"/>
                        <w:szCs w:val="21"/>
                      </w:rPr>
                      <w:t>2</w:t>
                    </w:r>
                    <w:r>
                      <w:rPr>
                        <w:rStyle w:val="19"/>
                        <w:rFonts w:ascii="Times New Roman" w:hAnsi="Times New Roman" w:cs="Times New Roman"/>
                        <w:sz w:val="21"/>
                        <w:szCs w:val="21"/>
                      </w:rPr>
                      <w:fldChar w:fldCharType="end"/>
                    </w:r>
                    <w:r>
                      <w:rPr>
                        <w:rStyle w:val="19"/>
                        <w:rFonts w:ascii="Times New Roman" w:hAnsi="Times New Roman" w:cs="Times New Roman"/>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29</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12"/>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29</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58D43"/>
    <w:multiLevelType w:val="singleLevel"/>
    <w:tmpl w:val="A3458D43"/>
    <w:lvl w:ilvl="0" w:tentative="0">
      <w:start w:val="2"/>
      <w:numFmt w:val="chineseCounting"/>
      <w:suff w:val="nothing"/>
      <w:lvlText w:val="%1、"/>
      <w:lvlJc w:val="left"/>
      <w:rPr>
        <w:rFonts w:hint="eastAsia"/>
      </w:rPr>
    </w:lvl>
  </w:abstractNum>
  <w:abstractNum w:abstractNumId="1">
    <w:nsid w:val="C1D6216F"/>
    <w:multiLevelType w:val="singleLevel"/>
    <w:tmpl w:val="C1D6216F"/>
    <w:lvl w:ilvl="0" w:tentative="0">
      <w:start w:val="6"/>
      <w:numFmt w:val="chineseCounting"/>
      <w:suff w:val="space"/>
      <w:lvlText w:val="第%1篇"/>
      <w:lvlJc w:val="left"/>
      <w:rPr>
        <w:rFonts w:hint="eastAsia"/>
      </w:rPr>
    </w:lvl>
  </w:abstractNum>
  <w:abstractNum w:abstractNumId="2">
    <w:nsid w:val="C4D0D93C"/>
    <w:multiLevelType w:val="singleLevel"/>
    <w:tmpl w:val="C4D0D93C"/>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D46FB"/>
    <w:rsid w:val="00136E33"/>
    <w:rsid w:val="002A7F52"/>
    <w:rsid w:val="0034108C"/>
    <w:rsid w:val="005605A4"/>
    <w:rsid w:val="00577EEF"/>
    <w:rsid w:val="005A7026"/>
    <w:rsid w:val="00614A27"/>
    <w:rsid w:val="006209C8"/>
    <w:rsid w:val="00625250"/>
    <w:rsid w:val="00765876"/>
    <w:rsid w:val="0087271D"/>
    <w:rsid w:val="009C7678"/>
    <w:rsid w:val="00B460FF"/>
    <w:rsid w:val="00B56248"/>
    <w:rsid w:val="00BB7A7C"/>
    <w:rsid w:val="00DE5236"/>
    <w:rsid w:val="00E33679"/>
    <w:rsid w:val="00F71200"/>
    <w:rsid w:val="029E1B42"/>
    <w:rsid w:val="02C47896"/>
    <w:rsid w:val="03FE6319"/>
    <w:rsid w:val="04894D6B"/>
    <w:rsid w:val="04960D2B"/>
    <w:rsid w:val="04B42449"/>
    <w:rsid w:val="04ED41A7"/>
    <w:rsid w:val="05BF3D7B"/>
    <w:rsid w:val="05D27BEF"/>
    <w:rsid w:val="07876DB0"/>
    <w:rsid w:val="088A1C90"/>
    <w:rsid w:val="08AE3149"/>
    <w:rsid w:val="08D6582F"/>
    <w:rsid w:val="092C3A18"/>
    <w:rsid w:val="09A96737"/>
    <w:rsid w:val="09FF5075"/>
    <w:rsid w:val="0A146A07"/>
    <w:rsid w:val="0B6147B6"/>
    <w:rsid w:val="0B7769E1"/>
    <w:rsid w:val="0B7A05C0"/>
    <w:rsid w:val="0D5A2878"/>
    <w:rsid w:val="0DF41772"/>
    <w:rsid w:val="0E596F18"/>
    <w:rsid w:val="0F9066E3"/>
    <w:rsid w:val="0F995326"/>
    <w:rsid w:val="0FCC6DFA"/>
    <w:rsid w:val="100A0500"/>
    <w:rsid w:val="10694056"/>
    <w:rsid w:val="10B0490E"/>
    <w:rsid w:val="10CD441E"/>
    <w:rsid w:val="110E070B"/>
    <w:rsid w:val="1144444C"/>
    <w:rsid w:val="118831C1"/>
    <w:rsid w:val="11FC3C7B"/>
    <w:rsid w:val="124D7D92"/>
    <w:rsid w:val="12893873"/>
    <w:rsid w:val="14155180"/>
    <w:rsid w:val="1438443B"/>
    <w:rsid w:val="14E54E1F"/>
    <w:rsid w:val="16EB6375"/>
    <w:rsid w:val="16F0332F"/>
    <w:rsid w:val="174E4311"/>
    <w:rsid w:val="175A07E0"/>
    <w:rsid w:val="17820E7E"/>
    <w:rsid w:val="17D932AC"/>
    <w:rsid w:val="1838494B"/>
    <w:rsid w:val="18911017"/>
    <w:rsid w:val="18C93048"/>
    <w:rsid w:val="197E62CD"/>
    <w:rsid w:val="19F63627"/>
    <w:rsid w:val="1A577055"/>
    <w:rsid w:val="1A9B44AB"/>
    <w:rsid w:val="1BC20989"/>
    <w:rsid w:val="1BD347AA"/>
    <w:rsid w:val="1D49369F"/>
    <w:rsid w:val="1DCF37C7"/>
    <w:rsid w:val="1E862D59"/>
    <w:rsid w:val="1F0E6B82"/>
    <w:rsid w:val="1F210279"/>
    <w:rsid w:val="203D3BCF"/>
    <w:rsid w:val="21197683"/>
    <w:rsid w:val="224E6C54"/>
    <w:rsid w:val="23436267"/>
    <w:rsid w:val="23814406"/>
    <w:rsid w:val="238968EB"/>
    <w:rsid w:val="23FB6232"/>
    <w:rsid w:val="24F44C86"/>
    <w:rsid w:val="256A3439"/>
    <w:rsid w:val="25C137F2"/>
    <w:rsid w:val="266876A9"/>
    <w:rsid w:val="26B03985"/>
    <w:rsid w:val="277420AE"/>
    <w:rsid w:val="279F3290"/>
    <w:rsid w:val="27BF5D94"/>
    <w:rsid w:val="281465CB"/>
    <w:rsid w:val="28AD0B7A"/>
    <w:rsid w:val="28B27C52"/>
    <w:rsid w:val="28DD405D"/>
    <w:rsid w:val="2A6F6324"/>
    <w:rsid w:val="2D4609D6"/>
    <w:rsid w:val="2D591BF5"/>
    <w:rsid w:val="2DFC6E80"/>
    <w:rsid w:val="2E03680A"/>
    <w:rsid w:val="2F340201"/>
    <w:rsid w:val="2FC11D1E"/>
    <w:rsid w:val="3285225B"/>
    <w:rsid w:val="328F2182"/>
    <w:rsid w:val="330E68DF"/>
    <w:rsid w:val="338232D2"/>
    <w:rsid w:val="343D3142"/>
    <w:rsid w:val="34B227F7"/>
    <w:rsid w:val="351266AD"/>
    <w:rsid w:val="351B1DBB"/>
    <w:rsid w:val="35EB2851"/>
    <w:rsid w:val="35EC7605"/>
    <w:rsid w:val="373566A3"/>
    <w:rsid w:val="3751494E"/>
    <w:rsid w:val="383A6CDF"/>
    <w:rsid w:val="384B03E9"/>
    <w:rsid w:val="387A6BBF"/>
    <w:rsid w:val="393B7CF1"/>
    <w:rsid w:val="39D349ED"/>
    <w:rsid w:val="39F56226"/>
    <w:rsid w:val="3B6023B3"/>
    <w:rsid w:val="3B73321B"/>
    <w:rsid w:val="3B835794"/>
    <w:rsid w:val="3BFF1AFF"/>
    <w:rsid w:val="3E2171FA"/>
    <w:rsid w:val="40130CAF"/>
    <w:rsid w:val="404B0E09"/>
    <w:rsid w:val="407676CF"/>
    <w:rsid w:val="409E223E"/>
    <w:rsid w:val="422B389D"/>
    <w:rsid w:val="425D2088"/>
    <w:rsid w:val="42647561"/>
    <w:rsid w:val="430E35C6"/>
    <w:rsid w:val="43233E35"/>
    <w:rsid w:val="44297ADF"/>
    <w:rsid w:val="44C35AE0"/>
    <w:rsid w:val="457011EF"/>
    <w:rsid w:val="460A7FF5"/>
    <w:rsid w:val="4622569C"/>
    <w:rsid w:val="46493F56"/>
    <w:rsid w:val="46FE177C"/>
    <w:rsid w:val="471455B2"/>
    <w:rsid w:val="477F61D9"/>
    <w:rsid w:val="478665E8"/>
    <w:rsid w:val="47E24672"/>
    <w:rsid w:val="48AF68FD"/>
    <w:rsid w:val="48FB0348"/>
    <w:rsid w:val="496E5A82"/>
    <w:rsid w:val="49A87567"/>
    <w:rsid w:val="49D273C4"/>
    <w:rsid w:val="4A2F29F1"/>
    <w:rsid w:val="4A9E4CBE"/>
    <w:rsid w:val="4AFC343B"/>
    <w:rsid w:val="4B59120E"/>
    <w:rsid w:val="4C0F1B31"/>
    <w:rsid w:val="4C28087F"/>
    <w:rsid w:val="4CC835EB"/>
    <w:rsid w:val="4EB06A67"/>
    <w:rsid w:val="4ECB3051"/>
    <w:rsid w:val="4F0A09C7"/>
    <w:rsid w:val="4F493920"/>
    <w:rsid w:val="4F882055"/>
    <w:rsid w:val="4F8C091B"/>
    <w:rsid w:val="4FA17831"/>
    <w:rsid w:val="505D59E6"/>
    <w:rsid w:val="505F1978"/>
    <w:rsid w:val="507B081A"/>
    <w:rsid w:val="50963CF4"/>
    <w:rsid w:val="51145515"/>
    <w:rsid w:val="513F12F1"/>
    <w:rsid w:val="517963E4"/>
    <w:rsid w:val="517F61AE"/>
    <w:rsid w:val="520B69A6"/>
    <w:rsid w:val="524D0715"/>
    <w:rsid w:val="525B7A2A"/>
    <w:rsid w:val="52BC2194"/>
    <w:rsid w:val="52EB3A96"/>
    <w:rsid w:val="52FE08FA"/>
    <w:rsid w:val="534A091B"/>
    <w:rsid w:val="534D4FB0"/>
    <w:rsid w:val="53DB0C3B"/>
    <w:rsid w:val="54CC782F"/>
    <w:rsid w:val="56AA6C96"/>
    <w:rsid w:val="579D3DCA"/>
    <w:rsid w:val="57F4225A"/>
    <w:rsid w:val="58847AF3"/>
    <w:rsid w:val="594D7903"/>
    <w:rsid w:val="5A507EBB"/>
    <w:rsid w:val="5A5F7739"/>
    <w:rsid w:val="5A6E1669"/>
    <w:rsid w:val="5B743E4F"/>
    <w:rsid w:val="5BD8169C"/>
    <w:rsid w:val="5C0D3F27"/>
    <w:rsid w:val="5D643C45"/>
    <w:rsid w:val="5F153B95"/>
    <w:rsid w:val="5F46765E"/>
    <w:rsid w:val="5F775C2F"/>
    <w:rsid w:val="5FBD4096"/>
    <w:rsid w:val="5FC07D7A"/>
    <w:rsid w:val="6039605D"/>
    <w:rsid w:val="61DC6C34"/>
    <w:rsid w:val="6206190A"/>
    <w:rsid w:val="62DE3340"/>
    <w:rsid w:val="63857A9E"/>
    <w:rsid w:val="640E5F1E"/>
    <w:rsid w:val="64AD278B"/>
    <w:rsid w:val="64C228DE"/>
    <w:rsid w:val="66210538"/>
    <w:rsid w:val="678261A0"/>
    <w:rsid w:val="67FB006E"/>
    <w:rsid w:val="681E1FDF"/>
    <w:rsid w:val="68AD69ED"/>
    <w:rsid w:val="68ED0399"/>
    <w:rsid w:val="69702197"/>
    <w:rsid w:val="6A000277"/>
    <w:rsid w:val="6A346274"/>
    <w:rsid w:val="6AD2040A"/>
    <w:rsid w:val="6B1A7B7E"/>
    <w:rsid w:val="6BC42FAA"/>
    <w:rsid w:val="6CFE2250"/>
    <w:rsid w:val="6E6F0F7D"/>
    <w:rsid w:val="6EFB1C44"/>
    <w:rsid w:val="6F206BB4"/>
    <w:rsid w:val="6F3C1B40"/>
    <w:rsid w:val="6FA17EB3"/>
    <w:rsid w:val="6FF22984"/>
    <w:rsid w:val="6FFF0DB9"/>
    <w:rsid w:val="703C1E4C"/>
    <w:rsid w:val="709114D5"/>
    <w:rsid w:val="70FA3967"/>
    <w:rsid w:val="712F6051"/>
    <w:rsid w:val="714B4BCF"/>
    <w:rsid w:val="7519162B"/>
    <w:rsid w:val="751D1463"/>
    <w:rsid w:val="75277196"/>
    <w:rsid w:val="75307F76"/>
    <w:rsid w:val="7566482B"/>
    <w:rsid w:val="76304108"/>
    <w:rsid w:val="76491B74"/>
    <w:rsid w:val="76594A83"/>
    <w:rsid w:val="76C50CB5"/>
    <w:rsid w:val="771173B8"/>
    <w:rsid w:val="77334113"/>
    <w:rsid w:val="77CD55B3"/>
    <w:rsid w:val="7A214D4A"/>
    <w:rsid w:val="7A2447AA"/>
    <w:rsid w:val="7A3E313B"/>
    <w:rsid w:val="7A437867"/>
    <w:rsid w:val="7A5B2CCA"/>
    <w:rsid w:val="7A6A54E3"/>
    <w:rsid w:val="7B3D10BE"/>
    <w:rsid w:val="7BC549A1"/>
    <w:rsid w:val="7C461570"/>
    <w:rsid w:val="7C6D46FB"/>
    <w:rsid w:val="7C88585D"/>
    <w:rsid w:val="7D51760F"/>
    <w:rsid w:val="7D90608F"/>
    <w:rsid w:val="7DEF0277"/>
    <w:rsid w:val="7E505BFE"/>
    <w:rsid w:val="7F494CC5"/>
    <w:rsid w:val="7F80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60" w:lineRule="exact"/>
      <w:jc w:val="center"/>
      <w:outlineLvl w:val="0"/>
    </w:pPr>
    <w:rPr>
      <w:rFonts w:ascii="Times New Roman" w:hAnsi="Times New Roman" w:eastAsia="方正小标宋_GBK" w:cs="宋体"/>
      <w:b/>
      <w:snapToGrid w:val="0"/>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方正小标宋_GBK"/>
      <w:b/>
      <w:sz w:val="36"/>
    </w:rPr>
  </w:style>
  <w:style w:type="paragraph" w:styleId="5">
    <w:name w:val="heading 3"/>
    <w:basedOn w:val="1"/>
    <w:next w:val="6"/>
    <w:link w:val="23"/>
    <w:unhideWhenUsed/>
    <w:qFormat/>
    <w:uiPriority w:val="0"/>
    <w:pPr>
      <w:keepNext/>
      <w:keepLines/>
      <w:spacing w:before="260" w:after="260" w:line="413" w:lineRule="auto"/>
      <w:outlineLvl w:val="2"/>
    </w:pPr>
    <w:rPr>
      <w:rFonts w:ascii="Calibri" w:hAnsi="Calibri" w:eastAsia="方正仿宋_GBK"/>
      <w:b/>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next w:val="1"/>
    <w:unhideWhenUsed/>
    <w:qFormat/>
    <w:uiPriority w:val="99"/>
    <w:pPr>
      <w:ind w:firstLine="420" w:firstLineChars="200"/>
    </w:p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ind w:left="420" w:leftChars="200"/>
    </w:p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1"/>
    <w:basedOn w:val="1"/>
    <w:next w:val="8"/>
    <w:qFormat/>
    <w:uiPriority w:val="0"/>
    <w:rPr>
      <w:rFonts w:ascii="宋体" w:hAnsi="Courier New"/>
    </w:rPr>
  </w:style>
  <w:style w:type="character" w:customStyle="1" w:styleId="23">
    <w:name w:val="标题 3 字符"/>
    <w:link w:val="5"/>
    <w:qFormat/>
    <w:uiPriority w:val="0"/>
    <w:rPr>
      <w:rFonts w:ascii="Calibri" w:hAnsi="Calibri" w:eastAsia="方正仿宋_GBK"/>
      <w:b/>
      <w:sz w:val="24"/>
    </w:rPr>
  </w:style>
  <w:style w:type="character" w:customStyle="1" w:styleId="24">
    <w:name w:val="font41"/>
    <w:basedOn w:val="18"/>
    <w:qFormat/>
    <w:uiPriority w:val="0"/>
    <w:rPr>
      <w:rFonts w:hint="eastAsia" w:ascii="宋体" w:hAnsi="宋体" w:eastAsia="宋体" w:cs="宋体"/>
      <w:color w:val="FF0000"/>
      <w:sz w:val="24"/>
      <w:szCs w:val="24"/>
      <w:u w:val="none"/>
    </w:rPr>
  </w:style>
  <w:style w:type="character" w:customStyle="1" w:styleId="25">
    <w:name w:val="font31"/>
    <w:basedOn w:val="18"/>
    <w:qFormat/>
    <w:uiPriority w:val="0"/>
    <w:rPr>
      <w:rFonts w:hint="eastAsia" w:ascii="宋体" w:hAnsi="宋体" w:eastAsia="宋体" w:cs="宋体"/>
      <w:color w:val="000000"/>
      <w:sz w:val="24"/>
      <w:szCs w:val="24"/>
      <w:u w:val="none"/>
    </w:rPr>
  </w:style>
  <w:style w:type="paragraph" w:customStyle="1" w:styleId="26">
    <w:name w:val="列出段落5"/>
    <w:basedOn w:val="1"/>
    <w:qFormat/>
    <w:uiPriority w:val="99"/>
    <w:pPr>
      <w:ind w:firstLine="420" w:firstLineChars="200"/>
    </w:pPr>
  </w:style>
  <w:style w:type="character" w:customStyle="1" w:styleId="27">
    <w:name w:val="批注框文本 字符"/>
    <w:basedOn w:val="18"/>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11055</Words>
  <Characters>11499</Characters>
  <Lines>146</Lines>
  <Paragraphs>41</Paragraphs>
  <TotalTime>35</TotalTime>
  <ScaleCrop>false</ScaleCrop>
  <LinksUpToDate>false</LinksUpToDate>
  <CharactersWithSpaces>12552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2025-03-24T07:46:00Z</dcterms:created>
  <dc:creator>jr</dc:creator>
  <cp:lastModifiedBy>一枚老仙女</cp:lastModifiedBy>
  <cp:lastPrinted>2025-09-22T06:59:31Z</cp:lastPrinted>
  <dcterms:modified xsi:type="dcterms:W3CDTF">2025-09-22T07:12:19Z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C7EAFECB04BA42B39FD002B55A78351A_13</vt:lpwstr>
  </property>
  <property fmtid="{D5CDD505-2E9C-101B-9397-08002B2CF9AE}" pid="4" name="KSOTemplateDocerSaveRecord">
    <vt:lpwstr>eyJoZGlkIjoiMGFjY2M2YTk3ZDU3ZWRhMGUzNGExNjM1NTFmZDJhYzQiLCJ1c2VySWQiOiIxMDU5Njg2NjQ5In0=</vt:lpwstr>
  </property>
</Properties>
</file>